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FC" w:rsidRDefault="00B57AE8" w:rsidP="00E52DCF">
      <w:pPr>
        <w:rPr>
          <w:sz w:val="28"/>
          <w:szCs w:val="28"/>
          <w:lang w:val="uk-UA"/>
        </w:rPr>
      </w:pPr>
      <w:r w:rsidRPr="00B57A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3.3pt;width:33.75pt;height:48pt;z-index:-1;mso-position-horizontal:center" wrapcoords="-480 0 -480 17550 6720 21262 9600 21262 12000 21262 15360 21262 21600 17888 21600 0 -480 0">
            <v:imagedata r:id="rId7" o:title=""/>
            <w10:wrap type="tight"/>
          </v:shape>
        </w:pict>
      </w:r>
    </w:p>
    <w:p w:rsidR="00CF6BFC" w:rsidRPr="00E75A7D" w:rsidRDefault="00CF6BFC" w:rsidP="00793A99">
      <w:pPr>
        <w:tabs>
          <w:tab w:val="left" w:pos="5220"/>
        </w:tabs>
        <w:rPr>
          <w:sz w:val="8"/>
          <w:szCs w:val="8"/>
          <w:lang w:val="uk-UA"/>
        </w:rPr>
      </w:pPr>
    </w:p>
    <w:p w:rsidR="00CF6BFC" w:rsidRPr="007B06A0" w:rsidRDefault="00CF6BFC" w:rsidP="00E52DCF">
      <w:pPr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             </w:t>
      </w:r>
    </w:p>
    <w:p w:rsidR="00CF6BFC" w:rsidRPr="007B06A0" w:rsidRDefault="00CF6BFC" w:rsidP="00640B6B">
      <w:pPr>
        <w:jc w:val="center"/>
        <w:rPr>
          <w:b/>
          <w:bCs/>
          <w:sz w:val="12"/>
          <w:szCs w:val="12"/>
          <w:lang w:val="uk-UA"/>
        </w:rPr>
      </w:pPr>
    </w:p>
    <w:p w:rsidR="00CF6BFC" w:rsidRDefault="00CF6BFC" w:rsidP="007B06A0">
      <w:pPr>
        <w:jc w:val="center"/>
        <w:rPr>
          <w:b/>
          <w:bCs/>
          <w:sz w:val="28"/>
          <w:szCs w:val="28"/>
          <w:lang w:val="uk-UA"/>
        </w:rPr>
      </w:pPr>
      <w:r w:rsidRPr="005B300C">
        <w:rPr>
          <w:b/>
          <w:bCs/>
          <w:sz w:val="28"/>
          <w:szCs w:val="28"/>
          <w:lang w:val="uk-UA"/>
        </w:rPr>
        <w:t xml:space="preserve">Кременчуцька  міська  </w:t>
      </w:r>
      <w:r>
        <w:rPr>
          <w:b/>
          <w:bCs/>
          <w:sz w:val="28"/>
          <w:szCs w:val="28"/>
          <w:lang w:val="uk-UA"/>
        </w:rPr>
        <w:t>рада</w:t>
      </w:r>
    </w:p>
    <w:p w:rsidR="00CF6BFC" w:rsidRPr="005B300C" w:rsidRDefault="00CF6BFC" w:rsidP="007B06A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CF6BFC" w:rsidRPr="00BB7E96" w:rsidRDefault="00CF6BFC" w:rsidP="007B06A0">
      <w:pPr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УПРАВЛІННЯ</w:t>
      </w:r>
      <w:r w:rsidRPr="00EB2C56">
        <w:rPr>
          <w:b/>
          <w:bCs/>
          <w:sz w:val="28"/>
          <w:szCs w:val="28"/>
          <w:lang w:val="uk-UA"/>
        </w:rPr>
        <w:t xml:space="preserve">  МІСЬКОГО  МАЙНА</w:t>
      </w:r>
    </w:p>
    <w:p w:rsidR="00CF6BFC" w:rsidRPr="004770A0" w:rsidRDefault="00CF6BFC" w:rsidP="00E52DCF">
      <w:pPr>
        <w:jc w:val="center"/>
        <w:rPr>
          <w:sz w:val="16"/>
          <w:szCs w:val="16"/>
          <w:lang w:val="uk-UA"/>
        </w:rPr>
      </w:pPr>
      <w:r w:rsidRPr="00336255">
        <w:rPr>
          <w:sz w:val="16"/>
          <w:szCs w:val="16"/>
          <w:lang w:val="uk-UA"/>
        </w:rPr>
        <w:t xml:space="preserve">площа Перемоги, </w:t>
      </w:r>
      <w:r w:rsidRPr="004770A0">
        <w:rPr>
          <w:sz w:val="16"/>
          <w:szCs w:val="16"/>
          <w:lang w:val="uk-UA"/>
        </w:rPr>
        <w:t>2,  м. Кременчук,  39600, тел. (05366)  3-50-83, факс  (05366 )  3-60-79</w:t>
      </w:r>
    </w:p>
    <w:p w:rsidR="00CF6BFC" w:rsidRPr="00336255" w:rsidRDefault="00CF6BFC" w:rsidP="00376CD5">
      <w:pPr>
        <w:jc w:val="center"/>
        <w:rPr>
          <w:sz w:val="16"/>
          <w:szCs w:val="16"/>
          <w:lang w:val="uk-UA"/>
        </w:rPr>
      </w:pPr>
      <w:r w:rsidRPr="004770A0">
        <w:rPr>
          <w:sz w:val="16"/>
          <w:szCs w:val="16"/>
          <w:lang w:val="en-US"/>
        </w:rPr>
        <w:t>E</w:t>
      </w:r>
      <w:r w:rsidRPr="004770A0">
        <w:rPr>
          <w:sz w:val="16"/>
          <w:szCs w:val="16"/>
          <w:lang w:val="uk-UA"/>
        </w:rPr>
        <w:t>-</w:t>
      </w:r>
      <w:r w:rsidRPr="004770A0">
        <w:rPr>
          <w:sz w:val="16"/>
          <w:szCs w:val="16"/>
          <w:lang w:val="en-US"/>
        </w:rPr>
        <w:t>mail</w:t>
      </w:r>
      <w:r w:rsidRPr="004770A0">
        <w:rPr>
          <w:sz w:val="16"/>
          <w:szCs w:val="16"/>
          <w:lang w:val="uk-UA"/>
        </w:rPr>
        <w:t xml:space="preserve">: </w:t>
      </w:r>
      <w:r w:rsidRPr="004770A0">
        <w:rPr>
          <w:sz w:val="16"/>
          <w:szCs w:val="16"/>
          <w:lang w:val="en-GB"/>
        </w:rPr>
        <w:t>y</w:t>
      </w:r>
      <w:hyperlink r:id="rId8" w:history="1">
        <w:r w:rsidRPr="004770A0">
          <w:rPr>
            <w:rStyle w:val="a3"/>
            <w:color w:val="auto"/>
            <w:sz w:val="16"/>
            <w:szCs w:val="16"/>
            <w:u w:val="none"/>
            <w:lang w:val="en-GB"/>
          </w:rPr>
          <w:t>mmkmrpo</w:t>
        </w:r>
        <w:r w:rsidRPr="004770A0">
          <w:rPr>
            <w:rStyle w:val="a3"/>
            <w:color w:val="auto"/>
            <w:sz w:val="16"/>
            <w:szCs w:val="16"/>
            <w:u w:val="none"/>
            <w:lang w:val="uk-UA"/>
          </w:rPr>
          <w:t>@</w:t>
        </w:r>
        <w:r w:rsidRPr="004770A0">
          <w:rPr>
            <w:rStyle w:val="a3"/>
            <w:color w:val="auto"/>
            <w:sz w:val="16"/>
            <w:szCs w:val="16"/>
            <w:u w:val="none"/>
            <w:lang w:val="en-GB"/>
          </w:rPr>
          <w:t>ukr</w:t>
        </w:r>
        <w:r w:rsidRPr="004770A0">
          <w:rPr>
            <w:rStyle w:val="a3"/>
            <w:color w:val="auto"/>
            <w:sz w:val="16"/>
            <w:szCs w:val="16"/>
            <w:u w:val="none"/>
            <w:lang w:val="uk-UA"/>
          </w:rPr>
          <w:t>.</w:t>
        </w:r>
        <w:r w:rsidRPr="004770A0">
          <w:rPr>
            <w:rStyle w:val="a3"/>
            <w:color w:val="auto"/>
            <w:sz w:val="16"/>
            <w:szCs w:val="16"/>
            <w:u w:val="none"/>
            <w:lang w:val="en-GB"/>
          </w:rPr>
          <w:t>net</w:t>
        </w:r>
      </w:hyperlink>
      <w:r>
        <w:rPr>
          <w:sz w:val="16"/>
          <w:szCs w:val="16"/>
          <w:lang w:val="uk-UA"/>
        </w:rPr>
        <w:t>, Код  ЄДРПОУ 13946701</w:t>
      </w:r>
      <w:r w:rsidRPr="00336255">
        <w:rPr>
          <w:sz w:val="16"/>
          <w:szCs w:val="16"/>
          <w:lang w:val="uk-UA"/>
        </w:rPr>
        <w:t xml:space="preserve"> </w:t>
      </w:r>
    </w:p>
    <w:p w:rsidR="00CF6BFC" w:rsidRPr="00BC222F" w:rsidRDefault="00CF6BFC" w:rsidP="00E52DCF">
      <w:pPr>
        <w:rPr>
          <w:sz w:val="20"/>
          <w:szCs w:val="20"/>
          <w:u w:val="single"/>
          <w:lang w:val="uk-UA"/>
        </w:rPr>
      </w:pPr>
      <w:r w:rsidRPr="00BC222F">
        <w:rPr>
          <w:sz w:val="20"/>
          <w:szCs w:val="20"/>
          <w:u w:val="single"/>
          <w:lang w:val="uk-UA"/>
        </w:rPr>
        <w:t xml:space="preserve">             </w:t>
      </w:r>
    </w:p>
    <w:p w:rsidR="00CF6BFC" w:rsidRDefault="00CF6BFC" w:rsidP="00793A99">
      <w:pPr>
        <w:tabs>
          <w:tab w:val="left" w:pos="5220"/>
        </w:tabs>
        <w:rPr>
          <w:lang w:val="uk-UA"/>
        </w:rPr>
      </w:pPr>
      <w:r>
        <w:rPr>
          <w:lang w:val="uk-UA"/>
        </w:rPr>
        <w:t>«____» _________2021  № ___________                   На  №  ___________ від ____________</w:t>
      </w:r>
    </w:p>
    <w:p w:rsidR="009502FA" w:rsidRPr="004770A0" w:rsidRDefault="00D939D6" w:rsidP="004770A0">
      <w:pPr>
        <w:rPr>
          <w:sz w:val="8"/>
          <w:szCs w:val="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1E06F7">
        <w:rPr>
          <w:sz w:val="28"/>
          <w:szCs w:val="28"/>
          <w:lang w:val="uk-UA"/>
        </w:rPr>
        <w:t xml:space="preserve"> </w:t>
      </w:r>
      <w:r w:rsidR="00A03497">
        <w:rPr>
          <w:sz w:val="28"/>
          <w:szCs w:val="28"/>
          <w:lang w:val="uk-UA"/>
        </w:rPr>
        <w:t xml:space="preserve">  </w:t>
      </w:r>
      <w:r w:rsidR="001111EE">
        <w:rPr>
          <w:sz w:val="28"/>
          <w:szCs w:val="28"/>
          <w:lang w:val="uk-UA"/>
        </w:rPr>
        <w:t xml:space="preserve">    </w:t>
      </w:r>
      <w:r w:rsidR="00A35847">
        <w:rPr>
          <w:b/>
          <w:sz w:val="28"/>
          <w:szCs w:val="28"/>
          <w:lang w:val="uk-UA"/>
        </w:rPr>
        <w:t xml:space="preserve"> </w:t>
      </w:r>
      <w:r w:rsidR="00A20B9F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9502FA">
        <w:rPr>
          <w:b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06E63" w:rsidRDefault="009502FA" w:rsidP="009502FA">
      <w:pPr>
        <w:pStyle w:val="aa"/>
        <w:tabs>
          <w:tab w:val="left" w:pos="5387"/>
          <w:tab w:val="left" w:pos="56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9502FA" w:rsidRPr="00F80F49" w:rsidRDefault="00306E63" w:rsidP="009502FA">
      <w:pPr>
        <w:pStyle w:val="aa"/>
        <w:tabs>
          <w:tab w:val="left" w:pos="5387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="00950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502FA" w:rsidRPr="00F80F49">
        <w:rPr>
          <w:rFonts w:ascii="Times New Roman" w:hAnsi="Times New Roman" w:cs="Times New Roman"/>
          <w:b/>
          <w:sz w:val="28"/>
          <w:szCs w:val="28"/>
        </w:rPr>
        <w:t>До питання</w:t>
      </w:r>
      <w:r w:rsidR="000B4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1597B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9502FA" w:rsidRPr="00F80F49" w:rsidRDefault="009502FA" w:rsidP="009502FA">
      <w:pPr>
        <w:pStyle w:val="aa"/>
        <w:tabs>
          <w:tab w:val="left" w:pos="52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F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0F49">
        <w:rPr>
          <w:rFonts w:ascii="Times New Roman" w:hAnsi="Times New Roman" w:cs="Times New Roman"/>
          <w:b/>
          <w:sz w:val="28"/>
          <w:szCs w:val="28"/>
        </w:rPr>
        <w:t xml:space="preserve"> порядку денного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 </w:t>
      </w:r>
      <w:r w:rsidRPr="00F80F49">
        <w:rPr>
          <w:rFonts w:ascii="Times New Roman" w:hAnsi="Times New Roman" w:cs="Times New Roman"/>
          <w:b/>
          <w:sz w:val="28"/>
          <w:szCs w:val="28"/>
        </w:rPr>
        <w:t>сесії</w:t>
      </w:r>
    </w:p>
    <w:p w:rsidR="009502FA" w:rsidRPr="00F80F49" w:rsidRDefault="009502FA" w:rsidP="009502FA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0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F80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ади </w:t>
      </w:r>
    </w:p>
    <w:p w:rsidR="009502FA" w:rsidRPr="00F80F49" w:rsidRDefault="009502FA" w:rsidP="009502FA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Pr="00F80F49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Кременчуцького району</w:t>
      </w:r>
    </w:p>
    <w:p w:rsidR="009502FA" w:rsidRPr="00F80F49" w:rsidRDefault="009502FA" w:rsidP="009502FA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Полтавської області     </w:t>
      </w:r>
    </w:p>
    <w:p w:rsidR="009502FA" w:rsidRPr="002B247B" w:rsidRDefault="009502FA" w:rsidP="009502FA">
      <w:pPr>
        <w:pStyle w:val="aa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502FA" w:rsidRPr="00F80F49" w:rsidRDefault="009502FA" w:rsidP="009502FA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F80F49">
        <w:rPr>
          <w:rFonts w:ascii="Times New Roman" w:hAnsi="Times New Roman" w:cs="Times New Roman"/>
          <w:b/>
          <w:sz w:val="28"/>
          <w:szCs w:val="28"/>
          <w:lang w:val="uk-UA"/>
        </w:rPr>
        <w:t>Секретаріату</w:t>
      </w:r>
    </w:p>
    <w:p w:rsidR="009502FA" w:rsidRPr="002B247B" w:rsidRDefault="009502FA" w:rsidP="009502FA">
      <w:pPr>
        <w:pStyle w:val="aa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502FA" w:rsidRPr="00F80F49" w:rsidRDefault="009502FA" w:rsidP="009502FA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Головам постійних </w:t>
      </w:r>
    </w:p>
    <w:p w:rsidR="00306E63" w:rsidRDefault="009502FA" w:rsidP="009502FA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F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F80F49">
        <w:rPr>
          <w:rFonts w:ascii="Times New Roman" w:hAnsi="Times New Roman" w:cs="Times New Roman"/>
          <w:b/>
          <w:sz w:val="28"/>
          <w:szCs w:val="28"/>
          <w:lang w:val="uk-UA"/>
        </w:rPr>
        <w:t>депутатських комісій</w:t>
      </w:r>
    </w:p>
    <w:p w:rsidR="00306E63" w:rsidRPr="002B247B" w:rsidRDefault="00306E63" w:rsidP="009502FA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2FA" w:rsidRPr="002B247B" w:rsidRDefault="009502FA" w:rsidP="009502FA">
      <w:pPr>
        <w:pStyle w:val="aa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02FA" w:rsidRDefault="009502FA" w:rsidP="00306E63">
      <w:pPr>
        <w:pStyle w:val="aa"/>
        <w:tabs>
          <w:tab w:val="left" w:pos="567"/>
        </w:tabs>
        <w:jc w:val="both"/>
        <w:rPr>
          <w:sz w:val="28"/>
          <w:szCs w:val="28"/>
          <w:lang w:val="uk-UA"/>
        </w:rPr>
      </w:pPr>
      <w:r w:rsidRPr="005C04E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770A0" w:rsidRPr="003C577F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зі зверненням комунального некомерційного медичного  підприємства «Кременчуцька перша міська лікарня ім. О.Т. Богаєвського» від 02.12.2021 №  1479/01-10 </w:t>
      </w:r>
      <w:r w:rsidR="004770A0">
        <w:rPr>
          <w:rFonts w:ascii="Times New Roman" w:hAnsi="Times New Roman" w:cs="Times New Roman"/>
          <w:sz w:val="28"/>
          <w:szCs w:val="28"/>
          <w:lang w:val="uk-UA"/>
        </w:rPr>
        <w:t xml:space="preserve"> щодо включення</w:t>
      </w:r>
      <w:r w:rsidR="004770A0" w:rsidRPr="003C577F"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другого типу об’єкт</w:t>
      </w:r>
      <w:r w:rsidR="004770A0">
        <w:rPr>
          <w:rFonts w:ascii="Times New Roman" w:hAnsi="Times New Roman" w:cs="Times New Roman"/>
          <w:sz w:val="28"/>
          <w:szCs w:val="28"/>
          <w:lang w:val="uk-UA"/>
        </w:rPr>
        <w:t>а оренди та надання згоди</w:t>
      </w:r>
      <w:r w:rsidR="004770A0" w:rsidRPr="003C577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некомерційному медичному  підприємству «Кременчуцька перша міська лікарня ім. О.Т. Богаєвського» на продовження договору оренди окремого індивідуально визначеного майна, що належить до комунальної власності Кременчуцької міської територіальної громади з комунальним підприємством «Кременчуцький обласний онколо</w:t>
      </w:r>
      <w:r w:rsidR="004770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70A0" w:rsidRPr="003C577F">
        <w:rPr>
          <w:rFonts w:ascii="Times New Roman" w:hAnsi="Times New Roman" w:cs="Times New Roman"/>
          <w:sz w:val="28"/>
          <w:szCs w:val="28"/>
          <w:lang w:val="uk-UA"/>
        </w:rPr>
        <w:t>гічний диспансер Полтавської обласної ради» для проведення діагностики хворих  строком на два роки одинадцять місяців без проведення 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04E6">
        <w:rPr>
          <w:rFonts w:ascii="Times New Roman" w:hAnsi="Times New Roman" w:cs="Times New Roman"/>
          <w:sz w:val="28"/>
          <w:szCs w:val="28"/>
          <w:lang w:val="uk-UA"/>
        </w:rPr>
        <w:t xml:space="preserve"> просимо внести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Pr="005C04E6">
        <w:rPr>
          <w:rFonts w:ascii="Times New Roman" w:hAnsi="Times New Roman" w:cs="Times New Roman"/>
          <w:sz w:val="28"/>
          <w:szCs w:val="28"/>
          <w:lang w:val="uk-UA"/>
        </w:rPr>
        <w:t xml:space="preserve"> 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C04E6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707C6" w:rsidRPr="004770A0">
        <w:rPr>
          <w:rFonts w:ascii="Times New Roman" w:hAnsi="Times New Roman" w:cs="Times New Roman"/>
          <w:b/>
          <w:sz w:val="28"/>
          <w:szCs w:val="28"/>
          <w:lang w:val="uk-UA"/>
        </w:rPr>
        <w:t>Про включення до  Переліку другого типу об’єктів оренди, що належать до комунальної власності Кременчуцької міської територіальної громади, укладення договорів оренди без проведення аукціону</w:t>
      </w:r>
      <w:r w:rsidRPr="004770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707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саме: </w:t>
      </w:r>
    </w:p>
    <w:p w:rsidR="009707C6" w:rsidRPr="004770A0" w:rsidRDefault="009707C6" w:rsidP="009707C6">
      <w:pPr>
        <w:jc w:val="both"/>
        <w:outlineLvl w:val="0"/>
        <w:rPr>
          <w:sz w:val="16"/>
          <w:szCs w:val="16"/>
          <w:lang w:val="uk-UA"/>
        </w:rPr>
      </w:pPr>
    </w:p>
    <w:p w:rsidR="009502FA" w:rsidRPr="004770A0" w:rsidRDefault="00C616BD" w:rsidP="009502F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136A6">
        <w:rPr>
          <w:b/>
          <w:sz w:val="28"/>
          <w:szCs w:val="28"/>
          <w:lang w:val="uk-UA"/>
        </w:rPr>
        <w:t xml:space="preserve">Внести  </w:t>
      </w:r>
      <w:r w:rsidR="009707C6" w:rsidRPr="00665E3E">
        <w:rPr>
          <w:b/>
          <w:sz w:val="28"/>
          <w:szCs w:val="28"/>
          <w:lang w:val="uk-UA"/>
        </w:rPr>
        <w:t xml:space="preserve">зміни  до  </w:t>
      </w:r>
      <w:r w:rsidR="00F44628">
        <w:rPr>
          <w:b/>
          <w:sz w:val="28"/>
          <w:szCs w:val="28"/>
          <w:lang w:val="uk-UA"/>
        </w:rPr>
        <w:t>назви проє</w:t>
      </w:r>
      <w:r w:rsidR="009707C6">
        <w:rPr>
          <w:b/>
          <w:sz w:val="28"/>
          <w:szCs w:val="28"/>
          <w:lang w:val="uk-UA"/>
        </w:rPr>
        <w:t xml:space="preserve">кту рішення: </w:t>
      </w:r>
      <w:r w:rsidR="009707C6">
        <w:rPr>
          <w:sz w:val="28"/>
          <w:szCs w:val="28"/>
          <w:lang w:val="uk-UA"/>
        </w:rPr>
        <w:t>після слова «</w:t>
      </w:r>
      <w:r w:rsidR="00D136A6">
        <w:rPr>
          <w:sz w:val="28"/>
          <w:szCs w:val="28"/>
          <w:lang w:val="uk-UA"/>
        </w:rPr>
        <w:t xml:space="preserve">…, </w:t>
      </w:r>
      <w:r w:rsidR="009707C6">
        <w:rPr>
          <w:sz w:val="28"/>
          <w:szCs w:val="28"/>
          <w:lang w:val="uk-UA"/>
        </w:rPr>
        <w:t>укладення,</w:t>
      </w:r>
      <w:r w:rsidR="004770A0">
        <w:rPr>
          <w:sz w:val="28"/>
          <w:szCs w:val="28"/>
          <w:lang w:val="uk-UA"/>
        </w:rPr>
        <w:t xml:space="preserve"> …</w:t>
      </w:r>
      <w:r w:rsidR="009707C6">
        <w:rPr>
          <w:sz w:val="28"/>
          <w:szCs w:val="28"/>
          <w:lang w:val="uk-UA"/>
        </w:rPr>
        <w:t>» додати слово «</w:t>
      </w:r>
      <w:r w:rsidR="00D136A6">
        <w:rPr>
          <w:sz w:val="28"/>
          <w:szCs w:val="28"/>
          <w:lang w:val="uk-UA"/>
        </w:rPr>
        <w:t xml:space="preserve">…, </w:t>
      </w:r>
      <w:r w:rsidR="009707C6">
        <w:rPr>
          <w:sz w:val="28"/>
          <w:szCs w:val="28"/>
          <w:lang w:val="uk-UA"/>
        </w:rPr>
        <w:t>продовження</w:t>
      </w:r>
      <w:r w:rsidR="004770A0">
        <w:rPr>
          <w:sz w:val="28"/>
          <w:szCs w:val="28"/>
          <w:lang w:val="uk-UA"/>
        </w:rPr>
        <w:t>…</w:t>
      </w:r>
      <w:r w:rsidR="009707C6">
        <w:rPr>
          <w:sz w:val="28"/>
          <w:szCs w:val="28"/>
          <w:lang w:val="uk-UA"/>
        </w:rPr>
        <w:t>»;</w:t>
      </w:r>
      <w:r w:rsidR="009707C6">
        <w:rPr>
          <w:b/>
          <w:sz w:val="28"/>
          <w:szCs w:val="28"/>
          <w:lang w:val="uk-UA"/>
        </w:rPr>
        <w:t xml:space="preserve"> </w:t>
      </w:r>
    </w:p>
    <w:p w:rsidR="00C616BD" w:rsidRDefault="00C616BD" w:rsidP="009502FA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B5040" w:rsidRDefault="00C616BD" w:rsidP="006B5040">
      <w:pPr>
        <w:pStyle w:val="aa"/>
        <w:numPr>
          <w:ilvl w:val="0"/>
          <w:numId w:val="10"/>
        </w:numPr>
        <w:tabs>
          <w:tab w:val="left" w:pos="993"/>
        </w:tabs>
        <w:ind w:hanging="15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Доповнити проєкт рішення додатком 2</w:t>
      </w:r>
      <w:r w:rsidR="006B5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наступного змісту:</w:t>
      </w:r>
    </w:p>
    <w:p w:rsidR="00306E63" w:rsidRPr="00306E63" w:rsidRDefault="00306E63" w:rsidP="00306E63">
      <w:pPr>
        <w:pStyle w:val="aa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086" w:rsidRDefault="006B5040" w:rsidP="006B5086">
      <w:pPr>
        <w:ind w:left="566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«Додаток 2</w:t>
      </w:r>
    </w:p>
    <w:p w:rsidR="006B5086" w:rsidRDefault="006B5040" w:rsidP="006B5086">
      <w:pPr>
        <w:ind w:left="566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:rsidR="006B5040" w:rsidRDefault="006B5040" w:rsidP="006B5086">
      <w:pPr>
        <w:ind w:left="566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 грудня 2021 року</w:t>
      </w:r>
    </w:p>
    <w:p w:rsidR="006B5086" w:rsidRPr="006B5086" w:rsidRDefault="006B5086" w:rsidP="006B5086">
      <w:pPr>
        <w:ind w:left="5664"/>
        <w:jc w:val="both"/>
        <w:rPr>
          <w:b/>
          <w:sz w:val="28"/>
          <w:szCs w:val="28"/>
          <w:lang w:val="uk-UA"/>
        </w:rPr>
      </w:pPr>
    </w:p>
    <w:p w:rsidR="006B5040" w:rsidRDefault="006B5040" w:rsidP="006B50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Окреме індивідуально визначене майно, включене до Переліку</w:t>
      </w:r>
    </w:p>
    <w:p w:rsidR="006B5040" w:rsidRDefault="006B5040" w:rsidP="006B50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другого типу об’єктів оренди, що належать до комунальної власності</w:t>
      </w:r>
    </w:p>
    <w:p w:rsidR="006B5040" w:rsidRDefault="006B5040" w:rsidP="006B50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територіальної громади</w:t>
      </w:r>
    </w:p>
    <w:p w:rsidR="006B5040" w:rsidRDefault="006B5040" w:rsidP="006B5040">
      <w:pPr>
        <w:rPr>
          <w:b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3402"/>
        <w:gridCol w:w="1984"/>
        <w:gridCol w:w="2977"/>
      </w:tblGrid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№№</w:t>
            </w:r>
          </w:p>
        </w:tc>
        <w:tc>
          <w:tcPr>
            <w:tcW w:w="3402" w:type="dxa"/>
          </w:tcPr>
          <w:p w:rsidR="006B5040" w:rsidRPr="008F01C5" w:rsidRDefault="006B5040" w:rsidP="00F44628">
            <w:pPr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Назва майна</w:t>
            </w:r>
          </w:p>
        </w:tc>
        <w:tc>
          <w:tcPr>
            <w:tcW w:w="1984" w:type="dxa"/>
          </w:tcPr>
          <w:p w:rsidR="006B5040" w:rsidRPr="008F01C5" w:rsidRDefault="006B5040" w:rsidP="00F44628">
            <w:pPr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Кількість</w:t>
            </w:r>
          </w:p>
        </w:tc>
        <w:tc>
          <w:tcPr>
            <w:tcW w:w="2977" w:type="dxa"/>
          </w:tcPr>
          <w:p w:rsidR="006B5040" w:rsidRPr="008F01C5" w:rsidRDefault="006B5040" w:rsidP="00F44628">
            <w:pPr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Інвентарний номер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Тумбочки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1131-22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Стіл (однотумбовий)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01C5">
              <w:rPr>
                <w:sz w:val="23"/>
                <w:szCs w:val="23"/>
              </w:rPr>
              <w:t>1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1131,19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Килим діелектричний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1141-1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Тумби великі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1131-26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Стілець (п/ж)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1131-20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Негатоскоп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1131-16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Кушетка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1131-24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Табурет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01C5">
              <w:rPr>
                <w:sz w:val="23"/>
                <w:szCs w:val="23"/>
              </w:rPr>
              <w:t>1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1131-10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Вогнегасник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18121-7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Тумбочка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1131-22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 xml:space="preserve">Захисний комір 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01C5">
              <w:rPr>
                <w:sz w:val="23"/>
                <w:szCs w:val="23"/>
              </w:rPr>
              <w:t>1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1131-2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12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</w:rPr>
            </w:pPr>
            <w:r w:rsidRPr="008F01C5">
              <w:rPr>
                <w:sz w:val="23"/>
                <w:szCs w:val="23"/>
                <w:lang w:val="uk-UA"/>
              </w:rPr>
              <w:t>Скло проти свинцевий</w:t>
            </w:r>
            <w:r w:rsidRPr="008F01C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F01C5">
              <w:rPr>
                <w:sz w:val="23"/>
                <w:szCs w:val="23"/>
              </w:rPr>
              <w:t>1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1131-6</w:t>
            </w:r>
          </w:p>
        </w:tc>
      </w:tr>
      <w:tr w:rsidR="006B5040" w:rsidRPr="008F01C5" w:rsidTr="006B5040">
        <w:tc>
          <w:tcPr>
            <w:tcW w:w="426" w:type="dxa"/>
          </w:tcPr>
          <w:p w:rsidR="006B5040" w:rsidRPr="008F01C5" w:rsidRDefault="006B5040" w:rsidP="00F44628">
            <w:pPr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13</w:t>
            </w:r>
          </w:p>
        </w:tc>
        <w:tc>
          <w:tcPr>
            <w:tcW w:w="3402" w:type="dxa"/>
            <w:vAlign w:val="center"/>
          </w:tcPr>
          <w:p w:rsidR="006B5040" w:rsidRPr="008F01C5" w:rsidRDefault="006B5040" w:rsidP="00F44628">
            <w:pPr>
              <w:spacing w:line="276" w:lineRule="auto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РДК- ЦОЗ</w:t>
            </w:r>
          </w:p>
        </w:tc>
        <w:tc>
          <w:tcPr>
            <w:tcW w:w="1984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6B5040" w:rsidRPr="008F01C5" w:rsidRDefault="006B5040" w:rsidP="00F44628">
            <w:pPr>
              <w:spacing w:line="276" w:lineRule="auto"/>
              <w:jc w:val="center"/>
              <w:rPr>
                <w:sz w:val="23"/>
                <w:szCs w:val="23"/>
                <w:lang w:val="uk-UA"/>
              </w:rPr>
            </w:pPr>
            <w:r w:rsidRPr="008F01C5">
              <w:rPr>
                <w:sz w:val="23"/>
                <w:szCs w:val="23"/>
                <w:lang w:val="uk-UA"/>
              </w:rPr>
              <w:t>101470430</w:t>
            </w:r>
          </w:p>
        </w:tc>
      </w:tr>
    </w:tbl>
    <w:p w:rsidR="00C616BD" w:rsidRPr="002B247B" w:rsidRDefault="00C616BD" w:rsidP="009502FA">
      <w:pPr>
        <w:pStyle w:val="aa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502FA" w:rsidRDefault="00C616BD" w:rsidP="009502FA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950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02FA" w:rsidRPr="00584D16">
        <w:rPr>
          <w:rFonts w:ascii="Times New Roman" w:hAnsi="Times New Roman" w:cs="Times New Roman"/>
          <w:b/>
          <w:sz w:val="28"/>
          <w:szCs w:val="28"/>
          <w:lang w:val="uk-UA"/>
        </w:rPr>
        <w:t>Внести  зміни  до п. 1 про</w:t>
      </w:r>
      <w:r w:rsidR="009502FA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9502FA" w:rsidRPr="00584D16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bookmarkStart w:id="0" w:name="_GoBack"/>
      <w:bookmarkEnd w:id="0"/>
      <w:r w:rsidR="009502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02FA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рішення: </w:t>
      </w:r>
    </w:p>
    <w:p w:rsidR="009502FA" w:rsidRDefault="009707C6" w:rsidP="009502F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замість</w:t>
      </w:r>
      <w:r w:rsidR="009502FA" w:rsidRPr="00F26912">
        <w:rPr>
          <w:rFonts w:ascii="Times New Roman" w:hAnsi="Times New Roman" w:cs="Times New Roman"/>
          <w:sz w:val="28"/>
          <w:szCs w:val="28"/>
          <w:lang w:val="uk-UA"/>
        </w:rPr>
        <w:t xml:space="preserve"> слів </w:t>
      </w:r>
      <w:r w:rsidR="009502F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36A6">
        <w:rPr>
          <w:rFonts w:ascii="Times New Roman" w:hAnsi="Times New Roman" w:cs="Times New Roman"/>
          <w:sz w:val="28"/>
          <w:szCs w:val="28"/>
          <w:lang w:val="uk-UA"/>
        </w:rPr>
        <w:t xml:space="preserve">…,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  <w:r w:rsidR="009502FA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8A3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читати</w:t>
      </w:r>
      <w:r w:rsidR="009502FA" w:rsidRPr="00665E3E"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r w:rsidR="009502FA" w:rsidRPr="00C616B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136A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616BD" w:rsidRPr="00C616BD">
        <w:rPr>
          <w:rFonts w:ascii="Times New Roman" w:hAnsi="Times New Roman" w:cs="Times New Roman"/>
          <w:sz w:val="28"/>
          <w:szCs w:val="28"/>
          <w:lang w:val="uk-UA"/>
        </w:rPr>
        <w:t>, згідно з додатком 1</w:t>
      </w:r>
      <w:r w:rsidR="00D136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02FA" w:rsidRPr="00C616B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770A0" w:rsidRPr="00F26912" w:rsidRDefault="004770A0" w:rsidP="009502FA">
      <w:pPr>
        <w:pStyle w:val="aa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502FA" w:rsidRDefault="009502FA" w:rsidP="006B5040">
      <w:pPr>
        <w:pStyle w:val="aa"/>
        <w:numPr>
          <w:ilvl w:val="0"/>
          <w:numId w:val="12"/>
        </w:numPr>
        <w:tabs>
          <w:tab w:val="left" w:pos="993"/>
        </w:tabs>
        <w:ind w:hanging="51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Внести зміни </w:t>
      </w:r>
      <w:r w:rsidR="00C61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16BD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п. </w:t>
      </w:r>
      <w:r w:rsidR="00C616B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616BD" w:rsidRPr="0058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</w:t>
      </w:r>
      <w:r w:rsidR="00C616BD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C616BD" w:rsidRPr="00584D16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r w:rsidR="00C61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16BD" w:rsidRPr="00584D16">
        <w:rPr>
          <w:rFonts w:ascii="Times New Roman" w:hAnsi="Times New Roman" w:cs="Times New Roman"/>
          <w:b/>
          <w:sz w:val="28"/>
          <w:szCs w:val="28"/>
          <w:lang w:val="uk-UA"/>
        </w:rPr>
        <w:t>рішення:</w:t>
      </w:r>
    </w:p>
    <w:p w:rsidR="006B5040" w:rsidRDefault="00C616BD" w:rsidP="00C616BD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замість</w:t>
      </w:r>
      <w:r w:rsidRPr="00F26912">
        <w:rPr>
          <w:rFonts w:ascii="Times New Roman" w:hAnsi="Times New Roman" w:cs="Times New Roman"/>
          <w:sz w:val="28"/>
          <w:szCs w:val="28"/>
          <w:lang w:val="uk-UA"/>
        </w:rPr>
        <w:t xml:space="preserve"> слів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136A6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зазначеними у додатку до рішення.» </w:t>
      </w:r>
      <w:r w:rsidR="00477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читати слова «</w:t>
      </w:r>
      <w:r w:rsidR="00D136A6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зазначеними у додатку 1 до рішення.»</w:t>
      </w:r>
      <w:r w:rsidR="006B50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70A0" w:rsidRPr="004770A0" w:rsidRDefault="004770A0" w:rsidP="00C616BD">
      <w:pPr>
        <w:pStyle w:val="aa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B5040" w:rsidRPr="006B5040" w:rsidRDefault="006B5040" w:rsidP="006B5040">
      <w:pPr>
        <w:pStyle w:val="aa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5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рішення доповнити пунктом 3, </w:t>
      </w:r>
      <w:r w:rsidRPr="006B5040">
        <w:rPr>
          <w:rFonts w:ascii="Times New Roman" w:hAnsi="Times New Roman"/>
          <w:b/>
          <w:sz w:val="28"/>
          <w:szCs w:val="28"/>
          <w:lang w:val="uk-UA"/>
        </w:rPr>
        <w:t xml:space="preserve">виклавши його в наступній редакції:   </w:t>
      </w:r>
    </w:p>
    <w:p w:rsidR="004770A0" w:rsidRDefault="006B5040" w:rsidP="006B50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«3. Включити   до  Переліку  другого  типу  об’єкт   оренди,  що  належить</w:t>
      </w:r>
      <w:r w:rsidRPr="00A262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комунальної власності Кременчуцької міської територіальної громади, а саме: окреме індивідуально визначене майно згідно з додатком</w:t>
      </w:r>
      <w:r w:rsidR="00F44628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,  розташоване за адресою: Полтавська область, м. Кременчук,  вул. Лікаря Богаєвського, </w:t>
      </w:r>
      <w:r w:rsidR="004770A0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буд. 60/1.</w:t>
      </w:r>
      <w:r w:rsidR="004770A0">
        <w:rPr>
          <w:sz w:val="28"/>
          <w:szCs w:val="28"/>
          <w:lang w:val="uk-UA"/>
        </w:rPr>
        <w:t>»;</w:t>
      </w:r>
    </w:p>
    <w:p w:rsidR="006B5040" w:rsidRPr="004770A0" w:rsidRDefault="006B5040" w:rsidP="006B5040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70A0" w:rsidRPr="006B5040" w:rsidRDefault="004770A0" w:rsidP="004770A0">
      <w:pPr>
        <w:pStyle w:val="aa"/>
        <w:numPr>
          <w:ilvl w:val="0"/>
          <w:numId w:val="1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5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рішення доповнити пунктом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B5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B5040">
        <w:rPr>
          <w:rFonts w:ascii="Times New Roman" w:hAnsi="Times New Roman"/>
          <w:b/>
          <w:sz w:val="28"/>
          <w:szCs w:val="28"/>
          <w:lang w:val="uk-UA"/>
        </w:rPr>
        <w:t xml:space="preserve">виклавши його в наступній редакції:   </w:t>
      </w:r>
    </w:p>
    <w:p w:rsidR="004770A0" w:rsidRDefault="004770A0" w:rsidP="004770A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«4. Надати  згоду комунальному некомерційному медичному підприємству «Кременчуцька перша міська лікарня ім. О.Т. Богаєвського» продовжити</w:t>
      </w:r>
      <w:r w:rsidRPr="00603DD2">
        <w:rPr>
          <w:sz w:val="28"/>
          <w:szCs w:val="28"/>
          <w:lang w:val="uk-UA"/>
        </w:rPr>
        <w:t xml:space="preserve"> договір оренди </w:t>
      </w:r>
      <w:r>
        <w:rPr>
          <w:sz w:val="28"/>
          <w:szCs w:val="28"/>
          <w:lang w:val="uk-UA"/>
        </w:rPr>
        <w:t xml:space="preserve"> окремого </w:t>
      </w:r>
      <w:r w:rsidRPr="00603DD2">
        <w:rPr>
          <w:sz w:val="28"/>
          <w:szCs w:val="28"/>
          <w:lang w:val="uk-UA"/>
        </w:rPr>
        <w:t>індивідуально визначеного</w:t>
      </w:r>
      <w:r w:rsidRPr="005B4B59">
        <w:rPr>
          <w:sz w:val="28"/>
          <w:szCs w:val="28"/>
          <w:lang w:val="uk-UA"/>
        </w:rPr>
        <w:t xml:space="preserve"> </w:t>
      </w:r>
      <w:r w:rsidRPr="00603DD2">
        <w:rPr>
          <w:sz w:val="28"/>
          <w:szCs w:val="28"/>
          <w:lang w:val="uk-UA"/>
        </w:rPr>
        <w:t xml:space="preserve">майна, що належить до комунальної власності Кременчуцької </w:t>
      </w:r>
      <w:r>
        <w:rPr>
          <w:sz w:val="28"/>
          <w:szCs w:val="28"/>
          <w:lang w:val="uk-UA"/>
        </w:rPr>
        <w:t xml:space="preserve">міської територіальної громади,  зазначеному у додатку 2 </w:t>
      </w:r>
      <w:r w:rsidRPr="00603DD2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комунальним підприємством «Кременчуцький обласний онкологічний диспансер </w:t>
      </w:r>
      <w:r w:rsidRPr="00603DD2">
        <w:rPr>
          <w:sz w:val="28"/>
          <w:szCs w:val="28"/>
          <w:lang w:val="uk-UA"/>
        </w:rPr>
        <w:t>Полта</w:t>
      </w:r>
      <w:r>
        <w:rPr>
          <w:sz w:val="28"/>
          <w:szCs w:val="28"/>
          <w:lang w:val="uk-UA"/>
        </w:rPr>
        <w:t>вської обласної ради»</w:t>
      </w:r>
      <w:r w:rsidRPr="00603DD2">
        <w:rPr>
          <w:sz w:val="28"/>
          <w:szCs w:val="28"/>
          <w:lang w:val="uk-UA"/>
        </w:rPr>
        <w:t xml:space="preserve">  для </w:t>
      </w:r>
      <w:r>
        <w:rPr>
          <w:sz w:val="28"/>
          <w:szCs w:val="28"/>
          <w:lang w:val="uk-UA"/>
        </w:rPr>
        <w:t xml:space="preserve">проведення діагностики хворих </w:t>
      </w:r>
      <w:r w:rsidRPr="00603DD2">
        <w:rPr>
          <w:sz w:val="28"/>
          <w:szCs w:val="28"/>
          <w:lang w:val="uk-UA"/>
        </w:rPr>
        <w:t xml:space="preserve"> строком на два роки одинадцять</w:t>
      </w:r>
      <w:r w:rsidR="00306E63">
        <w:rPr>
          <w:sz w:val="28"/>
          <w:szCs w:val="28"/>
          <w:lang w:val="uk-UA"/>
        </w:rPr>
        <w:t xml:space="preserve"> місяців</w:t>
      </w:r>
      <w:r w:rsidRPr="00603D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»;</w:t>
      </w:r>
    </w:p>
    <w:p w:rsidR="004770A0" w:rsidRDefault="004770A0" w:rsidP="004770A0">
      <w:pPr>
        <w:ind w:firstLine="567"/>
        <w:jc w:val="both"/>
        <w:rPr>
          <w:sz w:val="16"/>
          <w:szCs w:val="16"/>
          <w:lang w:val="uk-UA"/>
        </w:rPr>
      </w:pPr>
    </w:p>
    <w:p w:rsidR="004770A0" w:rsidRDefault="004770A0" w:rsidP="006B5086">
      <w:pPr>
        <w:pStyle w:val="aa"/>
        <w:numPr>
          <w:ilvl w:val="0"/>
          <w:numId w:val="12"/>
        </w:numPr>
        <w:ind w:righ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3153">
        <w:rPr>
          <w:rFonts w:ascii="Times New Roman" w:hAnsi="Times New Roman"/>
          <w:b/>
          <w:sz w:val="28"/>
          <w:szCs w:val="28"/>
          <w:lang w:val="uk-UA"/>
        </w:rPr>
        <w:t>Пункти 3, 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5 </w:t>
      </w:r>
      <w:r w:rsidRPr="00023153">
        <w:rPr>
          <w:rFonts w:ascii="Times New Roman" w:hAnsi="Times New Roman"/>
          <w:b/>
          <w:sz w:val="28"/>
          <w:szCs w:val="28"/>
          <w:lang w:val="uk-UA"/>
        </w:rPr>
        <w:t xml:space="preserve"> вважати пунктами </w:t>
      </w:r>
      <w:r>
        <w:rPr>
          <w:rFonts w:ascii="Times New Roman" w:hAnsi="Times New Roman"/>
          <w:b/>
          <w:sz w:val="28"/>
          <w:szCs w:val="28"/>
          <w:lang w:val="uk-UA"/>
        </w:rPr>
        <w:t>5, 6, 7.</w:t>
      </w:r>
    </w:p>
    <w:p w:rsidR="004770A0" w:rsidRPr="0061597B" w:rsidRDefault="0061597B" w:rsidP="0061597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Додаток: </w:t>
      </w:r>
      <w:r w:rsidRPr="0061597B">
        <w:rPr>
          <w:sz w:val="28"/>
          <w:szCs w:val="28"/>
          <w:lang w:val="uk-UA"/>
        </w:rPr>
        <w:t>копія лист</w:t>
      </w:r>
      <w:r>
        <w:rPr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3C577F">
        <w:rPr>
          <w:sz w:val="28"/>
          <w:szCs w:val="28"/>
          <w:lang w:val="uk-UA"/>
        </w:rPr>
        <w:t xml:space="preserve">комунального некомерційного медичного  підприємства «Кременчуцька перша міська лікарня ім. О.Т. Богаєвського» від 02.12.2021 </w:t>
      </w:r>
      <w:r>
        <w:rPr>
          <w:sz w:val="28"/>
          <w:szCs w:val="28"/>
          <w:lang w:val="uk-UA"/>
        </w:rPr>
        <w:t xml:space="preserve">      </w:t>
      </w:r>
      <w:r w:rsidRPr="003C577F">
        <w:rPr>
          <w:sz w:val="28"/>
          <w:szCs w:val="28"/>
          <w:lang w:val="uk-UA"/>
        </w:rPr>
        <w:t xml:space="preserve">№  1479/01-10 </w:t>
      </w:r>
      <w:r>
        <w:rPr>
          <w:sz w:val="28"/>
          <w:szCs w:val="28"/>
          <w:lang w:val="uk-UA"/>
        </w:rPr>
        <w:t xml:space="preserve"> на 1 арк. в 1 прим.</w:t>
      </w:r>
    </w:p>
    <w:p w:rsidR="009502FA" w:rsidRDefault="009502FA" w:rsidP="009502FA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086" w:rsidRPr="00113D7B" w:rsidRDefault="006B5086" w:rsidP="009502FA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2FA" w:rsidRDefault="009502FA" w:rsidP="009502FA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чальник Управління міського </w:t>
      </w:r>
    </w:p>
    <w:p w:rsidR="009502FA" w:rsidRDefault="009502FA" w:rsidP="009502FA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Кременчуцької міської </w:t>
      </w:r>
    </w:p>
    <w:p w:rsidR="009502FA" w:rsidRDefault="009502FA" w:rsidP="009502FA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Кременчуцького району</w:t>
      </w:r>
    </w:p>
    <w:p w:rsidR="009502FA" w:rsidRPr="00113D7B" w:rsidRDefault="009502FA" w:rsidP="009502FA">
      <w:pPr>
        <w:pStyle w:val="aa"/>
        <w:tabs>
          <w:tab w:val="left" w:pos="567"/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4EEB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D136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Олена ЩЕРБІНА</w:t>
      </w:r>
    </w:p>
    <w:p w:rsidR="009502FA" w:rsidRDefault="009502FA" w:rsidP="009502FA">
      <w:pPr>
        <w:rPr>
          <w:sz w:val="16"/>
          <w:szCs w:val="16"/>
          <w:lang w:val="uk-UA"/>
        </w:rPr>
      </w:pPr>
    </w:p>
    <w:p w:rsidR="009502FA" w:rsidRDefault="009502FA" w:rsidP="009502FA">
      <w:pPr>
        <w:rPr>
          <w:sz w:val="16"/>
          <w:szCs w:val="16"/>
          <w:lang w:val="uk-UA"/>
        </w:rPr>
      </w:pPr>
    </w:p>
    <w:p w:rsidR="004770A0" w:rsidRDefault="004770A0" w:rsidP="009502FA">
      <w:pPr>
        <w:rPr>
          <w:sz w:val="16"/>
          <w:szCs w:val="16"/>
          <w:lang w:val="uk-UA"/>
        </w:rPr>
      </w:pPr>
    </w:p>
    <w:p w:rsidR="004770A0" w:rsidRDefault="004770A0" w:rsidP="009502FA">
      <w:pPr>
        <w:rPr>
          <w:sz w:val="16"/>
          <w:szCs w:val="16"/>
          <w:lang w:val="uk-UA"/>
        </w:rPr>
      </w:pPr>
    </w:p>
    <w:p w:rsidR="004770A0" w:rsidRDefault="004770A0" w:rsidP="009502FA">
      <w:pPr>
        <w:rPr>
          <w:sz w:val="16"/>
          <w:szCs w:val="16"/>
          <w:lang w:val="uk-UA"/>
        </w:rPr>
      </w:pPr>
    </w:p>
    <w:p w:rsidR="004770A0" w:rsidRDefault="004770A0" w:rsidP="009502FA">
      <w:pPr>
        <w:rPr>
          <w:sz w:val="16"/>
          <w:szCs w:val="16"/>
          <w:lang w:val="uk-UA"/>
        </w:rPr>
      </w:pPr>
    </w:p>
    <w:p w:rsidR="004770A0" w:rsidRDefault="004770A0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93261F" w:rsidP="009502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</w:t>
      </w:r>
    </w:p>
    <w:p w:rsidR="0093261F" w:rsidRDefault="0093261F" w:rsidP="009502FA">
      <w:pPr>
        <w:rPr>
          <w:b/>
          <w:sz w:val="28"/>
          <w:szCs w:val="28"/>
          <w:lang w:val="uk-UA"/>
        </w:rPr>
      </w:pPr>
    </w:p>
    <w:p w:rsidR="0093261F" w:rsidRDefault="0093261F" w:rsidP="009502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міського голови</w:t>
      </w:r>
    </w:p>
    <w:p w:rsidR="0093261F" w:rsidRDefault="0093261F" w:rsidP="009502FA">
      <w:pPr>
        <w:rPr>
          <w:b/>
          <w:sz w:val="28"/>
          <w:szCs w:val="28"/>
          <w:lang w:val="uk-UA"/>
        </w:rPr>
      </w:pPr>
    </w:p>
    <w:p w:rsidR="0093261F" w:rsidRDefault="0093261F" w:rsidP="009502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Володимир ПЕЛИПЕНКО</w:t>
      </w:r>
    </w:p>
    <w:p w:rsidR="0093261F" w:rsidRDefault="0093261F" w:rsidP="009502FA">
      <w:pPr>
        <w:rPr>
          <w:b/>
          <w:sz w:val="28"/>
          <w:szCs w:val="28"/>
          <w:lang w:val="uk-UA"/>
        </w:rPr>
      </w:pPr>
    </w:p>
    <w:p w:rsidR="0093261F" w:rsidRPr="0093261F" w:rsidRDefault="0093261F" w:rsidP="009502FA">
      <w:pPr>
        <w:rPr>
          <w:b/>
          <w:sz w:val="28"/>
          <w:szCs w:val="28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6B5086" w:rsidRDefault="006B5086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4770A0" w:rsidRDefault="004770A0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93261F" w:rsidRDefault="0093261F" w:rsidP="009502FA">
      <w:pPr>
        <w:rPr>
          <w:sz w:val="16"/>
          <w:szCs w:val="16"/>
          <w:lang w:val="uk-UA"/>
        </w:rPr>
      </w:pPr>
    </w:p>
    <w:p w:rsidR="00CF6BFC" w:rsidRPr="004770A0" w:rsidRDefault="004770A0" w:rsidP="009502FA">
      <w:pPr>
        <w:rPr>
          <w:sz w:val="20"/>
          <w:szCs w:val="20"/>
          <w:lang w:val="uk-UA"/>
        </w:rPr>
      </w:pPr>
      <w:r w:rsidRPr="004770A0">
        <w:rPr>
          <w:sz w:val="20"/>
          <w:szCs w:val="20"/>
          <w:lang w:val="uk-UA"/>
        </w:rPr>
        <w:t>Людмила Вербіна</w:t>
      </w:r>
      <w:r w:rsidR="00F44628">
        <w:rPr>
          <w:sz w:val="20"/>
          <w:szCs w:val="20"/>
          <w:lang w:val="uk-UA"/>
        </w:rPr>
        <w:t xml:space="preserve"> </w:t>
      </w:r>
      <w:r w:rsidRPr="004770A0">
        <w:rPr>
          <w:sz w:val="20"/>
          <w:szCs w:val="20"/>
          <w:lang w:val="uk-UA"/>
        </w:rPr>
        <w:t xml:space="preserve"> 3-60-73</w:t>
      </w:r>
    </w:p>
    <w:sectPr w:rsidR="00CF6BFC" w:rsidRPr="004770A0" w:rsidSect="00306E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29" w:rsidRDefault="00C21829" w:rsidP="009502FA">
      <w:r>
        <w:separator/>
      </w:r>
    </w:p>
  </w:endnote>
  <w:endnote w:type="continuationSeparator" w:id="1">
    <w:p w:rsidR="00C21829" w:rsidRDefault="00C21829" w:rsidP="0095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29" w:rsidRDefault="00C21829" w:rsidP="009502FA">
      <w:r>
        <w:separator/>
      </w:r>
    </w:p>
  </w:footnote>
  <w:footnote w:type="continuationSeparator" w:id="1">
    <w:p w:rsidR="00C21829" w:rsidRDefault="00C21829" w:rsidP="00950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EBB"/>
    <w:multiLevelType w:val="hybridMultilevel"/>
    <w:tmpl w:val="5F5A5418"/>
    <w:lvl w:ilvl="0" w:tplc="75B0595A">
      <w:start w:val="2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9222E0"/>
    <w:multiLevelType w:val="multilevel"/>
    <w:tmpl w:val="3F787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92015A"/>
    <w:multiLevelType w:val="hybridMultilevel"/>
    <w:tmpl w:val="0FE2B1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44FD5"/>
    <w:multiLevelType w:val="hybridMultilevel"/>
    <w:tmpl w:val="8A5C52B0"/>
    <w:lvl w:ilvl="0" w:tplc="CD48FEC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D14FAD"/>
    <w:multiLevelType w:val="hybridMultilevel"/>
    <w:tmpl w:val="B1E64F54"/>
    <w:lvl w:ilvl="0" w:tplc="E7FAE166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E163D9"/>
    <w:multiLevelType w:val="hybridMultilevel"/>
    <w:tmpl w:val="4DAAE722"/>
    <w:lvl w:ilvl="0" w:tplc="6AC80D4A">
      <w:numFmt w:val="bullet"/>
      <w:lvlText w:val="-"/>
      <w:lvlJc w:val="left"/>
      <w:pPr>
        <w:tabs>
          <w:tab w:val="num" w:pos="2235"/>
        </w:tabs>
        <w:ind w:left="2235" w:hanging="13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39E2502C"/>
    <w:multiLevelType w:val="hybridMultilevel"/>
    <w:tmpl w:val="9A4CC96C"/>
    <w:lvl w:ilvl="0" w:tplc="800CDE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D362E"/>
    <w:multiLevelType w:val="hybridMultilevel"/>
    <w:tmpl w:val="8086FE20"/>
    <w:lvl w:ilvl="0" w:tplc="C4104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A77D3"/>
    <w:multiLevelType w:val="hybridMultilevel"/>
    <w:tmpl w:val="40B27028"/>
    <w:lvl w:ilvl="0" w:tplc="5A62DA90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649D156D"/>
    <w:multiLevelType w:val="hybridMultilevel"/>
    <w:tmpl w:val="E0829EE8"/>
    <w:lvl w:ilvl="0" w:tplc="6C4C20DE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B33224"/>
    <w:multiLevelType w:val="hybridMultilevel"/>
    <w:tmpl w:val="BC0C9C36"/>
    <w:lvl w:ilvl="0" w:tplc="157A48DE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F196C58"/>
    <w:multiLevelType w:val="hybridMultilevel"/>
    <w:tmpl w:val="3E56BDF0"/>
    <w:lvl w:ilvl="0" w:tplc="E556BB20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A40527"/>
    <w:multiLevelType w:val="hybridMultilevel"/>
    <w:tmpl w:val="30C0BD0C"/>
    <w:lvl w:ilvl="0" w:tplc="441403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C32B95"/>
    <w:multiLevelType w:val="hybridMultilevel"/>
    <w:tmpl w:val="7FFC43D4"/>
    <w:lvl w:ilvl="0" w:tplc="68AE406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9B065B"/>
    <w:multiLevelType w:val="hybridMultilevel"/>
    <w:tmpl w:val="A1862828"/>
    <w:lvl w:ilvl="0" w:tplc="1206C776"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426"/>
    <w:rsid w:val="0000533D"/>
    <w:rsid w:val="00032A54"/>
    <w:rsid w:val="00032F97"/>
    <w:rsid w:val="0004280B"/>
    <w:rsid w:val="00046923"/>
    <w:rsid w:val="00061181"/>
    <w:rsid w:val="00071CB5"/>
    <w:rsid w:val="00077859"/>
    <w:rsid w:val="00077D60"/>
    <w:rsid w:val="00083EC0"/>
    <w:rsid w:val="000B44B5"/>
    <w:rsid w:val="000B6B63"/>
    <w:rsid w:val="000C3C58"/>
    <w:rsid w:val="000C6540"/>
    <w:rsid w:val="000D6346"/>
    <w:rsid w:val="000E454F"/>
    <w:rsid w:val="000E593F"/>
    <w:rsid w:val="000F1D7B"/>
    <w:rsid w:val="000F3276"/>
    <w:rsid w:val="000F3551"/>
    <w:rsid w:val="001111EE"/>
    <w:rsid w:val="001177D1"/>
    <w:rsid w:val="00126B0E"/>
    <w:rsid w:val="0013771B"/>
    <w:rsid w:val="00141D56"/>
    <w:rsid w:val="00173184"/>
    <w:rsid w:val="00173628"/>
    <w:rsid w:val="00173864"/>
    <w:rsid w:val="00180391"/>
    <w:rsid w:val="00197038"/>
    <w:rsid w:val="001B3ADD"/>
    <w:rsid w:val="001C6A15"/>
    <w:rsid w:val="001E06F7"/>
    <w:rsid w:val="001E31F8"/>
    <w:rsid w:val="001F2426"/>
    <w:rsid w:val="00210185"/>
    <w:rsid w:val="00216154"/>
    <w:rsid w:val="002161A4"/>
    <w:rsid w:val="00225C42"/>
    <w:rsid w:val="0023088D"/>
    <w:rsid w:val="00244302"/>
    <w:rsid w:val="00244CD5"/>
    <w:rsid w:val="00246F5C"/>
    <w:rsid w:val="00254178"/>
    <w:rsid w:val="00257A55"/>
    <w:rsid w:val="00272871"/>
    <w:rsid w:val="002860E3"/>
    <w:rsid w:val="00293680"/>
    <w:rsid w:val="0029484A"/>
    <w:rsid w:val="002A6D84"/>
    <w:rsid w:val="002B10E3"/>
    <w:rsid w:val="002B140D"/>
    <w:rsid w:val="002C0EF8"/>
    <w:rsid w:val="002C560C"/>
    <w:rsid w:val="00306E63"/>
    <w:rsid w:val="00316019"/>
    <w:rsid w:val="003260CA"/>
    <w:rsid w:val="003262E6"/>
    <w:rsid w:val="00336255"/>
    <w:rsid w:val="00352AB9"/>
    <w:rsid w:val="0035769B"/>
    <w:rsid w:val="003613EA"/>
    <w:rsid w:val="0036766C"/>
    <w:rsid w:val="00372351"/>
    <w:rsid w:val="00376CD5"/>
    <w:rsid w:val="00397AED"/>
    <w:rsid w:val="003A04EE"/>
    <w:rsid w:val="003A6B33"/>
    <w:rsid w:val="003B2958"/>
    <w:rsid w:val="003E4C80"/>
    <w:rsid w:val="003F2ADD"/>
    <w:rsid w:val="003F405D"/>
    <w:rsid w:val="00400D2E"/>
    <w:rsid w:val="004066B6"/>
    <w:rsid w:val="00423922"/>
    <w:rsid w:val="004269E7"/>
    <w:rsid w:val="00436031"/>
    <w:rsid w:val="00453D9F"/>
    <w:rsid w:val="004550AF"/>
    <w:rsid w:val="004770A0"/>
    <w:rsid w:val="00482C6B"/>
    <w:rsid w:val="00491F71"/>
    <w:rsid w:val="004A2C5C"/>
    <w:rsid w:val="004A32E2"/>
    <w:rsid w:val="004C417D"/>
    <w:rsid w:val="004C4F0F"/>
    <w:rsid w:val="004F1BC4"/>
    <w:rsid w:val="004F5181"/>
    <w:rsid w:val="00515360"/>
    <w:rsid w:val="0052341F"/>
    <w:rsid w:val="005324D1"/>
    <w:rsid w:val="00532E44"/>
    <w:rsid w:val="005345E8"/>
    <w:rsid w:val="005500D9"/>
    <w:rsid w:val="00560833"/>
    <w:rsid w:val="005615BD"/>
    <w:rsid w:val="00565D35"/>
    <w:rsid w:val="00570B36"/>
    <w:rsid w:val="00581309"/>
    <w:rsid w:val="00585E66"/>
    <w:rsid w:val="0058681E"/>
    <w:rsid w:val="005927CE"/>
    <w:rsid w:val="005A4507"/>
    <w:rsid w:val="005B300C"/>
    <w:rsid w:val="005C459F"/>
    <w:rsid w:val="005C5471"/>
    <w:rsid w:val="005C7164"/>
    <w:rsid w:val="005D0FAF"/>
    <w:rsid w:val="005E08DC"/>
    <w:rsid w:val="005F7387"/>
    <w:rsid w:val="00611235"/>
    <w:rsid w:val="00615123"/>
    <w:rsid w:val="0061597B"/>
    <w:rsid w:val="00621113"/>
    <w:rsid w:val="00622EF4"/>
    <w:rsid w:val="00631382"/>
    <w:rsid w:val="00637363"/>
    <w:rsid w:val="00640B6B"/>
    <w:rsid w:val="006431DA"/>
    <w:rsid w:val="006A4C19"/>
    <w:rsid w:val="006A761A"/>
    <w:rsid w:val="006B433D"/>
    <w:rsid w:val="006B5040"/>
    <w:rsid w:val="006B5086"/>
    <w:rsid w:val="006C1A9F"/>
    <w:rsid w:val="006D38B6"/>
    <w:rsid w:val="006D43B5"/>
    <w:rsid w:val="006E2E4D"/>
    <w:rsid w:val="007061E9"/>
    <w:rsid w:val="00706F17"/>
    <w:rsid w:val="00751641"/>
    <w:rsid w:val="00761B38"/>
    <w:rsid w:val="00777275"/>
    <w:rsid w:val="00780B03"/>
    <w:rsid w:val="007930D9"/>
    <w:rsid w:val="00793A99"/>
    <w:rsid w:val="007B06A0"/>
    <w:rsid w:val="007B434B"/>
    <w:rsid w:val="007B4685"/>
    <w:rsid w:val="007C7E37"/>
    <w:rsid w:val="007D0509"/>
    <w:rsid w:val="007E5144"/>
    <w:rsid w:val="007E786E"/>
    <w:rsid w:val="00823C7B"/>
    <w:rsid w:val="00824E62"/>
    <w:rsid w:val="00833FD2"/>
    <w:rsid w:val="00840EB6"/>
    <w:rsid w:val="00844E84"/>
    <w:rsid w:val="00871A2F"/>
    <w:rsid w:val="008A37B2"/>
    <w:rsid w:val="008B1201"/>
    <w:rsid w:val="008B41D2"/>
    <w:rsid w:val="008B4498"/>
    <w:rsid w:val="008C7BDB"/>
    <w:rsid w:val="008E1391"/>
    <w:rsid w:val="008F062C"/>
    <w:rsid w:val="008F5922"/>
    <w:rsid w:val="00905B68"/>
    <w:rsid w:val="009114DD"/>
    <w:rsid w:val="00921D07"/>
    <w:rsid w:val="00922C31"/>
    <w:rsid w:val="0093261F"/>
    <w:rsid w:val="00936E29"/>
    <w:rsid w:val="009502FA"/>
    <w:rsid w:val="0095662B"/>
    <w:rsid w:val="00967D4D"/>
    <w:rsid w:val="009707C6"/>
    <w:rsid w:val="00976037"/>
    <w:rsid w:val="00981E34"/>
    <w:rsid w:val="009914B4"/>
    <w:rsid w:val="00995E7A"/>
    <w:rsid w:val="00997841"/>
    <w:rsid w:val="009A3D27"/>
    <w:rsid w:val="009C5F14"/>
    <w:rsid w:val="009C7083"/>
    <w:rsid w:val="009E3EF3"/>
    <w:rsid w:val="009E61F9"/>
    <w:rsid w:val="009F5975"/>
    <w:rsid w:val="00A01CE5"/>
    <w:rsid w:val="00A03497"/>
    <w:rsid w:val="00A17719"/>
    <w:rsid w:val="00A20B9F"/>
    <w:rsid w:val="00A25AE5"/>
    <w:rsid w:val="00A35847"/>
    <w:rsid w:val="00A468E2"/>
    <w:rsid w:val="00A54AE1"/>
    <w:rsid w:val="00A56501"/>
    <w:rsid w:val="00A62FC3"/>
    <w:rsid w:val="00A7016A"/>
    <w:rsid w:val="00A726C5"/>
    <w:rsid w:val="00A77DE3"/>
    <w:rsid w:val="00A87686"/>
    <w:rsid w:val="00A91F8C"/>
    <w:rsid w:val="00A922DF"/>
    <w:rsid w:val="00A92C45"/>
    <w:rsid w:val="00AA062E"/>
    <w:rsid w:val="00AA53BB"/>
    <w:rsid w:val="00AC0A25"/>
    <w:rsid w:val="00AD7BF6"/>
    <w:rsid w:val="00AE1DE7"/>
    <w:rsid w:val="00AE38C4"/>
    <w:rsid w:val="00AE5949"/>
    <w:rsid w:val="00AF2A0A"/>
    <w:rsid w:val="00B06747"/>
    <w:rsid w:val="00B14B5A"/>
    <w:rsid w:val="00B26ADC"/>
    <w:rsid w:val="00B27CB7"/>
    <w:rsid w:val="00B31D7C"/>
    <w:rsid w:val="00B54779"/>
    <w:rsid w:val="00B57AE8"/>
    <w:rsid w:val="00B8345F"/>
    <w:rsid w:val="00BB7E96"/>
    <w:rsid w:val="00BC222F"/>
    <w:rsid w:val="00BC2DA9"/>
    <w:rsid w:val="00BD7C89"/>
    <w:rsid w:val="00C0494C"/>
    <w:rsid w:val="00C10D1A"/>
    <w:rsid w:val="00C13049"/>
    <w:rsid w:val="00C21829"/>
    <w:rsid w:val="00C45435"/>
    <w:rsid w:val="00C616BD"/>
    <w:rsid w:val="00C64394"/>
    <w:rsid w:val="00C715C9"/>
    <w:rsid w:val="00C739C7"/>
    <w:rsid w:val="00C8689A"/>
    <w:rsid w:val="00C87A96"/>
    <w:rsid w:val="00C90D9A"/>
    <w:rsid w:val="00C978E4"/>
    <w:rsid w:val="00CA27B3"/>
    <w:rsid w:val="00CB002E"/>
    <w:rsid w:val="00CB249C"/>
    <w:rsid w:val="00CB72C7"/>
    <w:rsid w:val="00CC734E"/>
    <w:rsid w:val="00CF046F"/>
    <w:rsid w:val="00CF40B2"/>
    <w:rsid w:val="00CF6830"/>
    <w:rsid w:val="00CF6BFC"/>
    <w:rsid w:val="00D136A6"/>
    <w:rsid w:val="00D23658"/>
    <w:rsid w:val="00D46766"/>
    <w:rsid w:val="00D46B2D"/>
    <w:rsid w:val="00D54F8F"/>
    <w:rsid w:val="00D6105B"/>
    <w:rsid w:val="00D64D60"/>
    <w:rsid w:val="00D738C0"/>
    <w:rsid w:val="00D812B5"/>
    <w:rsid w:val="00D83748"/>
    <w:rsid w:val="00D83AE1"/>
    <w:rsid w:val="00D939D6"/>
    <w:rsid w:val="00DA7373"/>
    <w:rsid w:val="00DC1FDA"/>
    <w:rsid w:val="00E11BB3"/>
    <w:rsid w:val="00E14AC9"/>
    <w:rsid w:val="00E151D5"/>
    <w:rsid w:val="00E1625E"/>
    <w:rsid w:val="00E22A2A"/>
    <w:rsid w:val="00E25A40"/>
    <w:rsid w:val="00E337C5"/>
    <w:rsid w:val="00E35AE2"/>
    <w:rsid w:val="00E4051D"/>
    <w:rsid w:val="00E52DCF"/>
    <w:rsid w:val="00E61BD7"/>
    <w:rsid w:val="00E75A7D"/>
    <w:rsid w:val="00EA309B"/>
    <w:rsid w:val="00EB2B9A"/>
    <w:rsid w:val="00EB2C56"/>
    <w:rsid w:val="00EB4260"/>
    <w:rsid w:val="00ED715B"/>
    <w:rsid w:val="00EE781F"/>
    <w:rsid w:val="00F06F31"/>
    <w:rsid w:val="00F30BEC"/>
    <w:rsid w:val="00F32035"/>
    <w:rsid w:val="00F33EA6"/>
    <w:rsid w:val="00F44628"/>
    <w:rsid w:val="00F54799"/>
    <w:rsid w:val="00F9042C"/>
    <w:rsid w:val="00FB330E"/>
    <w:rsid w:val="00FD4053"/>
    <w:rsid w:val="00FD4944"/>
    <w:rsid w:val="00FD5CD9"/>
    <w:rsid w:val="00FD742B"/>
    <w:rsid w:val="00FE3306"/>
    <w:rsid w:val="00FE45F7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3748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D83748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sid w:val="00423922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83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23922"/>
    <w:rPr>
      <w:sz w:val="2"/>
      <w:szCs w:val="2"/>
    </w:rPr>
  </w:style>
  <w:style w:type="paragraph" w:styleId="a8">
    <w:name w:val="Body Text"/>
    <w:basedOn w:val="a"/>
    <w:link w:val="a9"/>
    <w:uiPriority w:val="99"/>
    <w:rsid w:val="005927CE"/>
    <w:pPr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5927CE"/>
    <w:rPr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rsid w:val="005927CE"/>
    <w:pPr>
      <w:ind w:firstLine="708"/>
      <w:jc w:val="both"/>
    </w:pPr>
    <w:rPr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27CE"/>
    <w:rPr>
      <w:sz w:val="24"/>
      <w:szCs w:val="24"/>
      <w:lang w:val="uk-UA" w:eastAsia="ru-RU"/>
    </w:rPr>
  </w:style>
  <w:style w:type="paragraph" w:styleId="aa">
    <w:name w:val="No Spacing"/>
    <w:uiPriority w:val="1"/>
    <w:qFormat/>
    <w:rsid w:val="005927CE"/>
    <w:rPr>
      <w:rFonts w:ascii="Calibri" w:hAnsi="Calibri" w:cs="Calibri"/>
      <w:sz w:val="22"/>
      <w:szCs w:val="22"/>
    </w:rPr>
  </w:style>
  <w:style w:type="paragraph" w:styleId="ab">
    <w:name w:val="Normal (Web)"/>
    <w:basedOn w:val="a"/>
    <w:uiPriority w:val="99"/>
    <w:rsid w:val="000F3551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9502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02FA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9502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02FA"/>
    <w:rPr>
      <w:sz w:val="24"/>
      <w:szCs w:val="24"/>
    </w:rPr>
  </w:style>
  <w:style w:type="character" w:styleId="af0">
    <w:name w:val="Strong"/>
    <w:basedOn w:val="a0"/>
    <w:uiPriority w:val="22"/>
    <w:qFormat/>
    <w:locked/>
    <w:rsid w:val="009707C6"/>
    <w:rPr>
      <w:b/>
      <w:bCs/>
    </w:rPr>
  </w:style>
  <w:style w:type="paragraph" w:styleId="af1">
    <w:name w:val="List Paragraph"/>
    <w:basedOn w:val="a"/>
    <w:uiPriority w:val="34"/>
    <w:qFormat/>
    <w:rsid w:val="00306E6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mkmrpo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123</cp:revision>
  <cp:lastPrinted>2021-12-03T11:51:00Z</cp:lastPrinted>
  <dcterms:created xsi:type="dcterms:W3CDTF">2021-01-06T11:27:00Z</dcterms:created>
  <dcterms:modified xsi:type="dcterms:W3CDTF">2021-12-03T12:35:00Z</dcterms:modified>
</cp:coreProperties>
</file>