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FC" w:rsidRPr="001F3AEB" w:rsidRDefault="00D65924" w:rsidP="00F56BFD">
      <w:pPr>
        <w:tabs>
          <w:tab w:val="left" w:pos="426"/>
        </w:tabs>
        <w:ind w:left="5670"/>
        <w:rPr>
          <w:b/>
        </w:rPr>
      </w:pPr>
      <w:r>
        <w:rPr>
          <w:b/>
        </w:rPr>
        <w:t>Додаток 1</w:t>
      </w:r>
    </w:p>
    <w:p w:rsidR="00D52AFC" w:rsidRDefault="00D52AFC" w:rsidP="00F56BFD">
      <w:pPr>
        <w:tabs>
          <w:tab w:val="left" w:pos="426"/>
        </w:tabs>
        <w:ind w:left="5670"/>
        <w:rPr>
          <w:b/>
        </w:rPr>
      </w:pPr>
      <w:r w:rsidRPr="001F3AEB">
        <w:rPr>
          <w:b/>
        </w:rPr>
        <w:t xml:space="preserve">до рішення </w:t>
      </w:r>
      <w:r>
        <w:rPr>
          <w:b/>
        </w:rPr>
        <w:t xml:space="preserve">Кременчуцької </w:t>
      </w:r>
      <w:r w:rsidRPr="001F3AEB">
        <w:rPr>
          <w:b/>
        </w:rPr>
        <w:t>міської ради</w:t>
      </w:r>
      <w:r>
        <w:rPr>
          <w:b/>
        </w:rPr>
        <w:t xml:space="preserve"> Кременчуцького району </w:t>
      </w:r>
      <w:r w:rsidR="009057D4">
        <w:rPr>
          <w:b/>
        </w:rPr>
        <w:br/>
        <w:t>Полтавської області</w:t>
      </w:r>
    </w:p>
    <w:p w:rsidR="00F140F9" w:rsidRDefault="00F140F9" w:rsidP="00F56BFD">
      <w:pPr>
        <w:ind w:left="5670"/>
        <w:jc w:val="both"/>
        <w:rPr>
          <w:b/>
          <w:szCs w:val="28"/>
        </w:rPr>
      </w:pPr>
      <w:r>
        <w:rPr>
          <w:b/>
          <w:szCs w:val="28"/>
        </w:rPr>
        <w:t xml:space="preserve">від </w:t>
      </w:r>
      <w:r w:rsidR="00BF7BED">
        <w:rPr>
          <w:b/>
          <w:szCs w:val="28"/>
        </w:rPr>
        <w:t xml:space="preserve">11 березня </w:t>
      </w:r>
      <w:bookmarkStart w:id="0" w:name="_GoBack"/>
      <w:bookmarkEnd w:id="0"/>
      <w:r>
        <w:rPr>
          <w:b/>
          <w:szCs w:val="28"/>
        </w:rPr>
        <w:t>2021 року</w:t>
      </w:r>
    </w:p>
    <w:p w:rsidR="002C139A" w:rsidRPr="00C7220D" w:rsidRDefault="002C139A" w:rsidP="00D52AFC">
      <w:pPr>
        <w:tabs>
          <w:tab w:val="left" w:pos="426"/>
        </w:tabs>
        <w:ind w:left="5954"/>
        <w:rPr>
          <w:b/>
          <w:sz w:val="20"/>
          <w:szCs w:val="20"/>
        </w:rPr>
      </w:pPr>
    </w:p>
    <w:p w:rsidR="008A1E39" w:rsidRDefault="00D437CB" w:rsidP="008A1E39">
      <w:pPr>
        <w:ind w:right="-142" w:firstLine="708"/>
        <w:jc w:val="both"/>
        <w:rPr>
          <w:b/>
          <w:szCs w:val="28"/>
        </w:rPr>
      </w:pPr>
      <w:r w:rsidRPr="005D6D2B">
        <w:rPr>
          <w:b/>
          <w:szCs w:val="28"/>
        </w:rPr>
        <w:t>7.1</w:t>
      </w:r>
      <w:r>
        <w:rPr>
          <w:b/>
          <w:szCs w:val="28"/>
        </w:rPr>
        <w:t>.</w:t>
      </w:r>
      <w:r w:rsidRPr="00471A19">
        <w:t xml:space="preserve"> </w:t>
      </w:r>
      <w:r w:rsidR="008A1E39">
        <w:rPr>
          <w:b/>
          <w:szCs w:val="28"/>
        </w:rPr>
        <w:t>Надання матеріальної допомоги</w:t>
      </w:r>
    </w:p>
    <w:p w:rsidR="008A1E39" w:rsidRDefault="008A1E39" w:rsidP="008A1E39">
      <w:pPr>
        <w:ind w:right="-142"/>
        <w:jc w:val="both"/>
        <w:rPr>
          <w:szCs w:val="28"/>
        </w:rPr>
      </w:pPr>
      <w:r w:rsidRPr="003D6C39">
        <w:rPr>
          <w:b/>
          <w:szCs w:val="28"/>
        </w:rPr>
        <w:t xml:space="preserve">Цільова група: </w:t>
      </w:r>
      <w:r w:rsidRPr="003D6C39">
        <w:rPr>
          <w:szCs w:val="28"/>
        </w:rPr>
        <w:t xml:space="preserve">демобілізовані </w:t>
      </w:r>
      <w:r>
        <w:rPr>
          <w:szCs w:val="28"/>
        </w:rPr>
        <w:t>учасники бойових дій</w:t>
      </w:r>
      <w:r w:rsidRPr="003D6C39">
        <w:rPr>
          <w:szCs w:val="28"/>
        </w:rPr>
        <w:t xml:space="preserve">, </w:t>
      </w:r>
      <w:r>
        <w:rPr>
          <w:szCs w:val="28"/>
          <w:lang w:eastAsia="uk-UA"/>
        </w:rPr>
        <w:t>які брали безпосередню участь в АТО</w:t>
      </w:r>
      <w:r>
        <w:rPr>
          <w:szCs w:val="28"/>
        </w:rPr>
        <w:t xml:space="preserve">; </w:t>
      </w:r>
      <w:r w:rsidRPr="003D6C39">
        <w:rPr>
          <w:szCs w:val="28"/>
        </w:rPr>
        <w:t xml:space="preserve">особи, які у складі добровольчих батальйонів </w:t>
      </w:r>
      <w:r>
        <w:rPr>
          <w:szCs w:val="28"/>
          <w:lang w:eastAsia="uk-UA"/>
        </w:rPr>
        <w:t>брали безпосередню участь в АТО</w:t>
      </w:r>
      <w:r>
        <w:rPr>
          <w:szCs w:val="28"/>
        </w:rPr>
        <w:t xml:space="preserve">; </w:t>
      </w:r>
      <w:r w:rsidRPr="003D6C39">
        <w:rPr>
          <w:szCs w:val="28"/>
        </w:rPr>
        <w:t>особи з інвалідністю внаслідок війни із числа учасників</w:t>
      </w:r>
      <w:r>
        <w:rPr>
          <w:szCs w:val="28"/>
        </w:rPr>
        <w:t xml:space="preserve">, </w:t>
      </w:r>
      <w:r>
        <w:rPr>
          <w:szCs w:val="28"/>
          <w:lang w:eastAsia="uk-UA"/>
        </w:rPr>
        <w:t>які брали безпосередню участь в АТО, ООС</w:t>
      </w:r>
      <w:r w:rsidRPr="00AB6A2C">
        <w:rPr>
          <w:szCs w:val="28"/>
        </w:rPr>
        <w:t>; постраждалі учасники Революції Гідності; учасники-добровол</w:t>
      </w:r>
      <w:r>
        <w:rPr>
          <w:szCs w:val="28"/>
        </w:rPr>
        <w:t>ьці, які брали участь в АТО, перебуваючи безпосередньо в районах проведення АТО (</w:t>
      </w:r>
      <w:r w:rsidRPr="00AB6A2C">
        <w:rPr>
          <w:szCs w:val="28"/>
        </w:rPr>
        <w:t xml:space="preserve">статус яким встановлено Комісією з визнання та встановлення статусу учасника-добровольця антитерористичної операції </w:t>
      </w:r>
      <w:r>
        <w:rPr>
          <w:szCs w:val="28"/>
        </w:rPr>
        <w:t xml:space="preserve">Полтавської </w:t>
      </w:r>
      <w:r w:rsidRPr="00AB6A2C">
        <w:rPr>
          <w:szCs w:val="28"/>
        </w:rPr>
        <w:t>обласної державної адміністрації</w:t>
      </w:r>
      <w:r>
        <w:rPr>
          <w:szCs w:val="28"/>
        </w:rPr>
        <w:t>)</w:t>
      </w:r>
      <w:r w:rsidRPr="00AB6A2C">
        <w:rPr>
          <w:szCs w:val="28"/>
        </w:rPr>
        <w:t xml:space="preserve">; </w:t>
      </w:r>
      <w:r w:rsidRPr="00AB6A2C">
        <w:rPr>
          <w:rFonts w:cs="Arial"/>
          <w:bCs/>
          <w:kern w:val="32"/>
          <w:szCs w:val="28"/>
        </w:rPr>
        <w:t>члени сіме</w:t>
      </w:r>
      <w:r>
        <w:rPr>
          <w:rFonts w:cs="Arial"/>
          <w:bCs/>
          <w:kern w:val="32"/>
          <w:szCs w:val="28"/>
        </w:rPr>
        <w:t xml:space="preserve">й загиблих (померлих)  учасників, </w:t>
      </w:r>
      <w:r>
        <w:rPr>
          <w:szCs w:val="28"/>
          <w:lang w:eastAsia="uk-UA"/>
        </w:rPr>
        <w:t>які брали безпосередню участь в АТО, ООС</w:t>
      </w:r>
      <w:r>
        <w:rPr>
          <w:rFonts w:cs="Arial"/>
          <w:bCs/>
          <w:kern w:val="32"/>
          <w:szCs w:val="28"/>
        </w:rPr>
        <w:t xml:space="preserve"> </w:t>
      </w:r>
      <w:r w:rsidRPr="003D6C39">
        <w:rPr>
          <w:rFonts w:cs="Arial"/>
          <w:bCs/>
          <w:kern w:val="32"/>
          <w:szCs w:val="28"/>
        </w:rPr>
        <w:t xml:space="preserve">та </w:t>
      </w:r>
      <w:r>
        <w:rPr>
          <w:szCs w:val="28"/>
        </w:rPr>
        <w:t>постраждалих</w:t>
      </w:r>
      <w:r w:rsidRPr="003D6C39">
        <w:rPr>
          <w:szCs w:val="28"/>
        </w:rPr>
        <w:t xml:space="preserve"> учасників Революції Гідності.</w:t>
      </w:r>
    </w:p>
    <w:p w:rsidR="008A1E39" w:rsidRPr="003D6C39" w:rsidRDefault="008A1E39" w:rsidP="008A1E39">
      <w:pPr>
        <w:ind w:right="-142"/>
        <w:rPr>
          <w:b/>
          <w:szCs w:val="28"/>
        </w:rPr>
      </w:pPr>
      <w:r w:rsidRPr="003D6C39">
        <w:rPr>
          <w:b/>
          <w:szCs w:val="28"/>
        </w:rPr>
        <w:t xml:space="preserve">Строк виконання: </w:t>
      </w:r>
      <w:r w:rsidRPr="003D6C39">
        <w:rPr>
          <w:szCs w:val="28"/>
        </w:rPr>
        <w:t>20</w:t>
      </w:r>
      <w:r>
        <w:rPr>
          <w:szCs w:val="28"/>
        </w:rPr>
        <w:t>21</w:t>
      </w:r>
      <w:r w:rsidRPr="008448FD">
        <w:rPr>
          <w:rFonts w:cs="Arial"/>
          <w:bCs/>
          <w:kern w:val="32"/>
          <w:szCs w:val="28"/>
        </w:rPr>
        <w:t>–</w:t>
      </w:r>
      <w:r>
        <w:rPr>
          <w:szCs w:val="28"/>
        </w:rPr>
        <w:t>2023</w:t>
      </w:r>
      <w:r w:rsidRPr="003D6C39">
        <w:rPr>
          <w:szCs w:val="28"/>
        </w:rPr>
        <w:t xml:space="preserve"> роки.</w:t>
      </w:r>
    </w:p>
    <w:p w:rsidR="008A1E39" w:rsidRPr="003D6C39" w:rsidRDefault="008A1E39" w:rsidP="008A1E39">
      <w:pPr>
        <w:ind w:right="-142"/>
        <w:jc w:val="both"/>
        <w:rPr>
          <w:b/>
          <w:szCs w:val="28"/>
        </w:rPr>
      </w:pPr>
      <w:r w:rsidRPr="003D6C39">
        <w:rPr>
          <w:b/>
          <w:szCs w:val="28"/>
        </w:rPr>
        <w:t>Головний розпорядник коштів:</w:t>
      </w:r>
      <w:r w:rsidRPr="003D6C39">
        <w:rPr>
          <w:szCs w:val="28"/>
        </w:rPr>
        <w:t xml:space="preserve"> </w:t>
      </w:r>
      <w:r>
        <w:rPr>
          <w:szCs w:val="28"/>
        </w:rPr>
        <w:t>Департамент соціального захисту населення Кременчуцької міської ради Кременчуцького району Полтавської області</w:t>
      </w:r>
      <w:r w:rsidRPr="003D6C39">
        <w:rPr>
          <w:szCs w:val="28"/>
        </w:rPr>
        <w:t>.</w:t>
      </w:r>
    </w:p>
    <w:p w:rsidR="008A1E39" w:rsidRPr="003D6C39" w:rsidRDefault="008A1E39" w:rsidP="008A1E39">
      <w:pPr>
        <w:ind w:right="-142"/>
        <w:jc w:val="both"/>
        <w:rPr>
          <w:szCs w:val="28"/>
        </w:rPr>
      </w:pPr>
      <w:r w:rsidRPr="003D6C39">
        <w:rPr>
          <w:b/>
          <w:szCs w:val="28"/>
        </w:rPr>
        <w:t xml:space="preserve">Мета програми: </w:t>
      </w:r>
      <w:r w:rsidRPr="003D6C39">
        <w:rPr>
          <w:szCs w:val="28"/>
        </w:rPr>
        <w:t>надання додаткових соціальних гарантій, адресна допомога учасникам АТО,</w:t>
      </w:r>
      <w:r>
        <w:rPr>
          <w:szCs w:val="28"/>
        </w:rPr>
        <w:t xml:space="preserve"> ООС, </w:t>
      </w:r>
      <w:r w:rsidRPr="00AB6A2C">
        <w:rPr>
          <w:szCs w:val="28"/>
        </w:rPr>
        <w:t>учасник</w:t>
      </w:r>
      <w:r>
        <w:rPr>
          <w:szCs w:val="28"/>
        </w:rPr>
        <w:t>ам-добровольцям,</w:t>
      </w:r>
      <w:r w:rsidRPr="00AB6A2C">
        <w:rPr>
          <w:szCs w:val="28"/>
        </w:rPr>
        <w:t xml:space="preserve"> </w:t>
      </w:r>
      <w:r>
        <w:rPr>
          <w:szCs w:val="28"/>
        </w:rPr>
        <w:t>які брали участь в  АТО</w:t>
      </w:r>
      <w:r w:rsidRPr="00AB6A2C">
        <w:rPr>
          <w:szCs w:val="28"/>
        </w:rPr>
        <w:t xml:space="preserve">, </w:t>
      </w:r>
      <w:r w:rsidRPr="003D6C39">
        <w:rPr>
          <w:szCs w:val="28"/>
        </w:rPr>
        <w:t>постраждалим учасникам Революції Гідності, членам їх сімей та членам сімей загиблих</w:t>
      </w:r>
      <w:r>
        <w:rPr>
          <w:szCs w:val="28"/>
        </w:rPr>
        <w:t xml:space="preserve"> (померлих)</w:t>
      </w:r>
      <w:r w:rsidRPr="003D6C39">
        <w:rPr>
          <w:szCs w:val="28"/>
        </w:rPr>
        <w:t xml:space="preserve"> учасників АТО</w:t>
      </w:r>
      <w:r>
        <w:rPr>
          <w:szCs w:val="28"/>
        </w:rPr>
        <w:t>, ООС</w:t>
      </w:r>
      <w:r w:rsidRPr="003D6C39">
        <w:rPr>
          <w:szCs w:val="28"/>
        </w:rPr>
        <w:t xml:space="preserve"> та постраждали</w:t>
      </w:r>
      <w:r>
        <w:rPr>
          <w:szCs w:val="28"/>
        </w:rPr>
        <w:t>м</w:t>
      </w:r>
      <w:r w:rsidRPr="003D6C39">
        <w:rPr>
          <w:szCs w:val="28"/>
        </w:rPr>
        <w:t xml:space="preserve"> учасник</w:t>
      </w:r>
      <w:r>
        <w:rPr>
          <w:szCs w:val="28"/>
        </w:rPr>
        <w:t>ам</w:t>
      </w:r>
      <w:r w:rsidRPr="003D6C39">
        <w:rPr>
          <w:szCs w:val="28"/>
        </w:rPr>
        <w:t xml:space="preserve"> Революції Гідності, поліпшення фінансово-матеріального стану учасників АТО,</w:t>
      </w:r>
      <w:r>
        <w:rPr>
          <w:szCs w:val="28"/>
        </w:rPr>
        <w:t xml:space="preserve"> ООС,</w:t>
      </w:r>
      <w:r w:rsidRPr="003D6C39">
        <w:rPr>
          <w:szCs w:val="28"/>
        </w:rPr>
        <w:t xml:space="preserve"> постраждалих учасників Революції Гідності, членів сімей загиблих учасників АТО</w:t>
      </w:r>
      <w:r>
        <w:rPr>
          <w:szCs w:val="28"/>
        </w:rPr>
        <w:t>, ООС</w:t>
      </w:r>
      <w:r w:rsidRPr="003D6C39">
        <w:rPr>
          <w:szCs w:val="28"/>
        </w:rPr>
        <w:t>.</w:t>
      </w:r>
    </w:p>
    <w:p w:rsidR="008A1E39" w:rsidRPr="00A5465C" w:rsidRDefault="008A1E39" w:rsidP="008A1E39">
      <w:pPr>
        <w:ind w:right="-142"/>
        <w:jc w:val="both"/>
        <w:rPr>
          <w:szCs w:val="28"/>
        </w:rPr>
      </w:pPr>
      <w:r w:rsidRPr="003D6C39">
        <w:rPr>
          <w:b/>
          <w:szCs w:val="28"/>
        </w:rPr>
        <w:t xml:space="preserve">Стислий опис реалізації: </w:t>
      </w:r>
      <w:r w:rsidRPr="003D6C39">
        <w:rPr>
          <w:szCs w:val="28"/>
        </w:rPr>
        <w:t>одноразова матеріальна допомога учасникам АТО,</w:t>
      </w:r>
      <w:r>
        <w:rPr>
          <w:szCs w:val="28"/>
        </w:rPr>
        <w:t xml:space="preserve"> ООС, </w:t>
      </w:r>
      <w:r w:rsidRPr="00AB6A2C">
        <w:rPr>
          <w:szCs w:val="28"/>
        </w:rPr>
        <w:t>учасник</w:t>
      </w:r>
      <w:r>
        <w:rPr>
          <w:szCs w:val="28"/>
        </w:rPr>
        <w:t>ам</w:t>
      </w:r>
      <w:r w:rsidRPr="00AB6A2C">
        <w:rPr>
          <w:szCs w:val="28"/>
        </w:rPr>
        <w:t>-добровольц</w:t>
      </w:r>
      <w:r>
        <w:rPr>
          <w:szCs w:val="28"/>
        </w:rPr>
        <w:t xml:space="preserve">ям, які брали участь в АТО, </w:t>
      </w:r>
      <w:r w:rsidRPr="003D6C39">
        <w:rPr>
          <w:szCs w:val="28"/>
        </w:rPr>
        <w:t>постраждалим учасникам Революції Гідності, членам сімей загиблих</w:t>
      </w:r>
      <w:r>
        <w:rPr>
          <w:szCs w:val="28"/>
        </w:rPr>
        <w:t xml:space="preserve"> (померлих)</w:t>
      </w:r>
      <w:r w:rsidRPr="003D6C39">
        <w:rPr>
          <w:szCs w:val="28"/>
        </w:rPr>
        <w:t xml:space="preserve"> </w:t>
      </w:r>
      <w:r w:rsidRPr="00D50354">
        <w:rPr>
          <w:szCs w:val="28"/>
        </w:rPr>
        <w:t>учасників АТО, ООС</w:t>
      </w:r>
      <w:r>
        <w:rPr>
          <w:szCs w:val="28"/>
        </w:rPr>
        <w:t xml:space="preserve"> </w:t>
      </w:r>
      <w:r w:rsidRPr="00D50354">
        <w:rPr>
          <w:szCs w:val="28"/>
        </w:rPr>
        <w:t>та постраждали</w:t>
      </w:r>
      <w:r>
        <w:rPr>
          <w:szCs w:val="28"/>
        </w:rPr>
        <w:t>м</w:t>
      </w:r>
      <w:r w:rsidRPr="00D50354">
        <w:rPr>
          <w:szCs w:val="28"/>
        </w:rPr>
        <w:t xml:space="preserve"> учасників Революції Гідності призначається відповідно до особистих звернень на засіданні </w:t>
      </w:r>
      <w:r w:rsidRPr="00D50354">
        <w:t>комісії з розгляду питань надання матеріальної допомоги деяким категоріям осіб, які захищали незалежність, суверенітет та територіальну цілісність України, членам сімей загиблих осіб, які захищали незалежність, суверенітет та територіальну цілісність України, постраждал</w:t>
      </w:r>
      <w:r>
        <w:t xml:space="preserve">им учасникам Революції </w:t>
      </w:r>
      <w:r w:rsidRPr="00A5465C">
        <w:rPr>
          <w:szCs w:val="28"/>
        </w:rPr>
        <w:t>Гідності. Орієнтовний розмір надання одноразової матеріальної д</w:t>
      </w:r>
      <w:r>
        <w:rPr>
          <w:szCs w:val="28"/>
        </w:rPr>
        <w:t xml:space="preserve">опомоги передбачено </w:t>
      </w:r>
      <w:r w:rsidRPr="00A5465C">
        <w:rPr>
          <w:szCs w:val="28"/>
        </w:rPr>
        <w:t>в наступних розмірах:</w:t>
      </w:r>
    </w:p>
    <w:p w:rsidR="008A1E39" w:rsidRPr="00A5465C" w:rsidRDefault="008A1E39" w:rsidP="008A1E39">
      <w:pPr>
        <w:tabs>
          <w:tab w:val="left" w:pos="4351"/>
        </w:tabs>
        <w:ind w:right="-284"/>
        <w:rPr>
          <w:szCs w:val="28"/>
        </w:rPr>
      </w:pPr>
      <w:r>
        <w:rPr>
          <w:szCs w:val="28"/>
        </w:rPr>
        <w:t>- учасникам</w:t>
      </w:r>
      <w:r w:rsidRPr="00A5465C">
        <w:rPr>
          <w:szCs w:val="28"/>
        </w:rPr>
        <w:t xml:space="preserve"> бойових дій – 4 000,00 грн;</w:t>
      </w:r>
    </w:p>
    <w:p w:rsidR="008A1E39" w:rsidRPr="00A5465C" w:rsidRDefault="008A1E39" w:rsidP="008A1E39">
      <w:pPr>
        <w:tabs>
          <w:tab w:val="left" w:pos="4351"/>
        </w:tabs>
        <w:ind w:right="-284"/>
        <w:rPr>
          <w:szCs w:val="28"/>
        </w:rPr>
      </w:pPr>
      <w:r>
        <w:rPr>
          <w:szCs w:val="28"/>
        </w:rPr>
        <w:t>- особам</w:t>
      </w:r>
      <w:r w:rsidRPr="00A5465C">
        <w:rPr>
          <w:szCs w:val="28"/>
        </w:rPr>
        <w:t xml:space="preserve"> з інвалідністю внаслідок війни III групи – 6 000,00 грн;</w:t>
      </w:r>
    </w:p>
    <w:p w:rsidR="008A1E39" w:rsidRPr="00A5465C" w:rsidRDefault="008A1E39" w:rsidP="008A1E39">
      <w:pPr>
        <w:tabs>
          <w:tab w:val="left" w:pos="4351"/>
        </w:tabs>
        <w:ind w:right="-284"/>
        <w:rPr>
          <w:szCs w:val="28"/>
        </w:rPr>
      </w:pPr>
      <w:r>
        <w:rPr>
          <w:szCs w:val="28"/>
        </w:rPr>
        <w:t>- особам</w:t>
      </w:r>
      <w:r w:rsidRPr="00A5465C">
        <w:rPr>
          <w:szCs w:val="28"/>
        </w:rPr>
        <w:t xml:space="preserve"> з інвалідністю внаслідок війни II групи – 7 000,00 грн;</w:t>
      </w:r>
    </w:p>
    <w:p w:rsidR="008A1E39" w:rsidRDefault="008A1E39" w:rsidP="008A1E39">
      <w:pPr>
        <w:tabs>
          <w:tab w:val="left" w:pos="4351"/>
        </w:tabs>
        <w:ind w:right="-284"/>
        <w:rPr>
          <w:szCs w:val="28"/>
        </w:rPr>
      </w:pPr>
      <w:r w:rsidRPr="00A5465C">
        <w:rPr>
          <w:szCs w:val="28"/>
        </w:rPr>
        <w:t>- особ</w:t>
      </w:r>
      <w:r>
        <w:rPr>
          <w:szCs w:val="28"/>
        </w:rPr>
        <w:t>ам</w:t>
      </w:r>
      <w:r w:rsidRPr="00A5465C">
        <w:rPr>
          <w:szCs w:val="28"/>
        </w:rPr>
        <w:t xml:space="preserve"> з інвалідністю внаслідок війни I групи – 8 000,00 грн;</w:t>
      </w:r>
    </w:p>
    <w:p w:rsidR="008A1E39" w:rsidRPr="00A5465C" w:rsidRDefault="008A1E39" w:rsidP="00011F2A">
      <w:pPr>
        <w:tabs>
          <w:tab w:val="left" w:pos="4351"/>
        </w:tabs>
        <w:ind w:right="-284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A5465C">
        <w:rPr>
          <w:szCs w:val="28"/>
        </w:rPr>
        <w:t>член</w:t>
      </w:r>
      <w:r>
        <w:rPr>
          <w:szCs w:val="28"/>
        </w:rPr>
        <w:t>ам</w:t>
      </w:r>
      <w:r w:rsidRPr="00A5465C">
        <w:rPr>
          <w:szCs w:val="28"/>
        </w:rPr>
        <w:t xml:space="preserve"> сімей загиблих (померлих) учасників АТО, ООС</w:t>
      </w:r>
      <w:r>
        <w:rPr>
          <w:szCs w:val="28"/>
        </w:rPr>
        <w:t xml:space="preserve"> на сім’ю – </w:t>
      </w:r>
      <w:r w:rsidR="00011F2A">
        <w:rPr>
          <w:szCs w:val="28"/>
        </w:rPr>
        <w:br/>
      </w:r>
      <w:r>
        <w:rPr>
          <w:szCs w:val="28"/>
        </w:rPr>
        <w:t>10 000,00 грн;</w:t>
      </w:r>
    </w:p>
    <w:p w:rsidR="008A1E39" w:rsidRDefault="008A1E39" w:rsidP="008A1E39">
      <w:pPr>
        <w:ind w:right="-142"/>
        <w:jc w:val="both"/>
        <w:rPr>
          <w:szCs w:val="28"/>
        </w:rPr>
      </w:pPr>
      <w:r w:rsidRPr="00A5465C">
        <w:rPr>
          <w:szCs w:val="28"/>
        </w:rPr>
        <w:t>- членам сімей загиблих (померлих) учасників АТО, ООС на виготовлення та встановле</w:t>
      </w:r>
      <w:r>
        <w:rPr>
          <w:szCs w:val="28"/>
        </w:rPr>
        <w:t>ння пам’ятників – 17 000,00 грн;</w:t>
      </w:r>
    </w:p>
    <w:p w:rsidR="008A1E39" w:rsidRDefault="008A1E39" w:rsidP="008A1E39">
      <w:pPr>
        <w:ind w:right="-142"/>
        <w:jc w:val="both"/>
        <w:rPr>
          <w:rFonts w:ascii="ProbaPro" w:hAnsi="ProbaPro"/>
          <w:color w:val="000000"/>
          <w:sz w:val="27"/>
          <w:szCs w:val="27"/>
          <w:shd w:val="clear" w:color="auto" w:fill="FFFFFF"/>
        </w:rPr>
      </w:pPr>
      <w:r>
        <w:rPr>
          <w:szCs w:val="28"/>
        </w:rPr>
        <w:t xml:space="preserve">- </w:t>
      </w:r>
      <w:r w:rsidRPr="002D071E">
        <w:rPr>
          <w:szCs w:val="28"/>
        </w:rPr>
        <w:t xml:space="preserve">членам сімей загиблих учасників антитерористичної операції, які загинули </w:t>
      </w:r>
      <w:r w:rsidRPr="002D071E">
        <w:rPr>
          <w:color w:val="000000"/>
          <w:szCs w:val="28"/>
          <w:shd w:val="clear" w:color="auto" w:fill="FFFFFF"/>
        </w:rPr>
        <w:t>під час безпосередньої участі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Луганських областях, перебуваючи в районах та у період здійснення зазначених заходів</w:t>
      </w:r>
      <w:r w:rsidR="00011F2A" w:rsidRPr="002D071E">
        <w:rPr>
          <w:color w:val="000000"/>
          <w:szCs w:val="28"/>
          <w:shd w:val="clear" w:color="auto" w:fill="FFFFFF"/>
        </w:rPr>
        <w:t>, на сім’ю</w:t>
      </w:r>
      <w:r w:rsidRPr="002D071E">
        <w:rPr>
          <w:color w:val="000000"/>
          <w:szCs w:val="28"/>
          <w:shd w:val="clear" w:color="auto" w:fill="FFFFFF"/>
        </w:rPr>
        <w:t xml:space="preserve"> – 100 000,00 грн.</w:t>
      </w:r>
    </w:p>
    <w:p w:rsidR="00011F2A" w:rsidRPr="00C7220D" w:rsidRDefault="00011F2A" w:rsidP="008A1E39">
      <w:pPr>
        <w:ind w:right="-142"/>
        <w:jc w:val="both"/>
        <w:rPr>
          <w:sz w:val="4"/>
          <w:szCs w:val="4"/>
        </w:rPr>
      </w:pP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8"/>
        <w:gridCol w:w="3972"/>
        <w:gridCol w:w="1821"/>
        <w:gridCol w:w="1767"/>
        <w:gridCol w:w="1557"/>
      </w:tblGrid>
      <w:tr w:rsidR="008A1E39" w:rsidRPr="003D6C39" w:rsidTr="008A1E39">
        <w:trPr>
          <w:trHeight w:val="292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39" w:rsidRPr="008A1E39" w:rsidRDefault="008A1E39" w:rsidP="00BC789D">
            <w:pPr>
              <w:spacing w:before="100" w:beforeAutospacing="1"/>
              <w:ind w:right="-284"/>
              <w:rPr>
                <w:b/>
                <w:color w:val="000000"/>
                <w:sz w:val="24"/>
              </w:rPr>
            </w:pPr>
            <w:r w:rsidRPr="008A1E39">
              <w:rPr>
                <w:b/>
                <w:color w:val="000000"/>
                <w:sz w:val="24"/>
              </w:rPr>
              <w:t xml:space="preserve">№ </w:t>
            </w:r>
          </w:p>
          <w:p w:rsidR="008A1E39" w:rsidRPr="008A1E39" w:rsidRDefault="008A1E39" w:rsidP="00BC789D">
            <w:pPr>
              <w:spacing w:before="100" w:beforeAutospacing="1"/>
              <w:ind w:right="-284"/>
              <w:rPr>
                <w:b/>
                <w:color w:val="000000"/>
                <w:sz w:val="24"/>
              </w:rPr>
            </w:pPr>
            <w:r w:rsidRPr="008A1E39">
              <w:rPr>
                <w:b/>
                <w:color w:val="000000"/>
                <w:sz w:val="24"/>
              </w:rPr>
              <w:t>з/п</w:t>
            </w:r>
          </w:p>
        </w:tc>
        <w:tc>
          <w:tcPr>
            <w:tcW w:w="20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39" w:rsidRPr="008A1E39" w:rsidRDefault="008A1E39" w:rsidP="00BC789D">
            <w:pPr>
              <w:spacing w:before="100" w:beforeAutospacing="1"/>
              <w:ind w:right="-284"/>
              <w:jc w:val="center"/>
              <w:rPr>
                <w:b/>
                <w:color w:val="000000"/>
                <w:sz w:val="24"/>
              </w:rPr>
            </w:pPr>
            <w:r w:rsidRPr="008A1E39">
              <w:rPr>
                <w:b/>
                <w:color w:val="000000"/>
                <w:sz w:val="24"/>
              </w:rPr>
              <w:t>Статті витрат</w:t>
            </w:r>
          </w:p>
        </w:tc>
        <w:tc>
          <w:tcPr>
            <w:tcW w:w="2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39" w:rsidRPr="008A1E39" w:rsidRDefault="008A1E39" w:rsidP="00BC789D">
            <w:pPr>
              <w:spacing w:before="100" w:beforeAutospacing="1"/>
              <w:ind w:right="-284"/>
              <w:jc w:val="center"/>
              <w:rPr>
                <w:b/>
                <w:color w:val="000000"/>
                <w:sz w:val="24"/>
              </w:rPr>
            </w:pPr>
            <w:r w:rsidRPr="008A1E39">
              <w:rPr>
                <w:b/>
                <w:sz w:val="24"/>
              </w:rPr>
              <w:t>Необхідне фінансування, грн</w:t>
            </w:r>
          </w:p>
        </w:tc>
      </w:tr>
      <w:tr w:rsidR="008A1E39" w:rsidRPr="003D6C39" w:rsidTr="008A1E39">
        <w:trPr>
          <w:trHeight w:val="70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39" w:rsidRPr="008A1E39" w:rsidRDefault="008A1E39" w:rsidP="00BC789D">
            <w:pPr>
              <w:ind w:right="-284"/>
              <w:rPr>
                <w:b/>
                <w:color w:val="000000"/>
                <w:sz w:val="24"/>
                <w:lang w:eastAsia="ar-SA"/>
              </w:rPr>
            </w:pPr>
          </w:p>
        </w:tc>
        <w:tc>
          <w:tcPr>
            <w:tcW w:w="2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39" w:rsidRPr="008A1E39" w:rsidRDefault="008A1E39" w:rsidP="00BC789D">
            <w:pPr>
              <w:ind w:right="-284"/>
              <w:rPr>
                <w:b/>
                <w:color w:val="000000"/>
                <w:sz w:val="24"/>
                <w:lang w:eastAsia="ar-SA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1E39" w:rsidRPr="008A1E39" w:rsidRDefault="008A1E39" w:rsidP="00BC789D">
            <w:pPr>
              <w:ind w:left="-101" w:right="-284"/>
              <w:jc w:val="center"/>
              <w:rPr>
                <w:b/>
                <w:sz w:val="24"/>
              </w:rPr>
            </w:pPr>
            <w:r w:rsidRPr="008A1E39">
              <w:rPr>
                <w:b/>
                <w:sz w:val="24"/>
              </w:rPr>
              <w:t>2021 рік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1E39" w:rsidRPr="008A1E39" w:rsidRDefault="008A1E39" w:rsidP="00BC789D">
            <w:pPr>
              <w:ind w:left="-101" w:right="-284"/>
              <w:jc w:val="center"/>
              <w:rPr>
                <w:b/>
                <w:sz w:val="24"/>
              </w:rPr>
            </w:pPr>
            <w:r w:rsidRPr="008A1E39">
              <w:rPr>
                <w:b/>
                <w:sz w:val="24"/>
              </w:rPr>
              <w:t>2022 рік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1E39" w:rsidRPr="008A1E39" w:rsidRDefault="008A1E39" w:rsidP="00BC789D">
            <w:pPr>
              <w:ind w:left="-101" w:right="-284"/>
              <w:jc w:val="center"/>
              <w:rPr>
                <w:b/>
                <w:sz w:val="24"/>
              </w:rPr>
            </w:pPr>
            <w:r w:rsidRPr="008A1E39">
              <w:rPr>
                <w:b/>
                <w:sz w:val="24"/>
              </w:rPr>
              <w:t>2023 рік</w:t>
            </w:r>
          </w:p>
        </w:tc>
      </w:tr>
      <w:tr w:rsidR="008A1E39" w:rsidRPr="003D6C39" w:rsidTr="008A1E39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39" w:rsidRPr="008A1E39" w:rsidRDefault="008A1E39" w:rsidP="00BC789D">
            <w:pPr>
              <w:ind w:right="-284"/>
              <w:rPr>
                <w:b/>
                <w:color w:val="000000"/>
                <w:sz w:val="24"/>
                <w:lang w:eastAsia="ar-SA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39" w:rsidRPr="008A1E39" w:rsidRDefault="008A1E39" w:rsidP="00BC789D">
            <w:pPr>
              <w:spacing w:before="100" w:beforeAutospacing="1"/>
              <w:ind w:right="-284"/>
              <w:rPr>
                <w:b/>
                <w:color w:val="000000"/>
                <w:sz w:val="24"/>
              </w:rPr>
            </w:pPr>
            <w:r w:rsidRPr="008A1E39">
              <w:rPr>
                <w:b/>
                <w:color w:val="000000"/>
                <w:sz w:val="24"/>
              </w:rPr>
              <w:t>Загальне фінансування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1E39" w:rsidRPr="008A1E39" w:rsidRDefault="008A1E39" w:rsidP="00F1438A">
            <w:pPr>
              <w:spacing w:before="100" w:beforeAutospacing="1"/>
              <w:ind w:left="-101" w:right="-284"/>
              <w:jc w:val="center"/>
              <w:rPr>
                <w:b/>
                <w:color w:val="000000"/>
                <w:sz w:val="24"/>
              </w:rPr>
            </w:pPr>
            <w:r w:rsidRPr="008A1E39">
              <w:rPr>
                <w:b/>
                <w:color w:val="000000"/>
                <w:sz w:val="24"/>
              </w:rPr>
              <w:t>5</w:t>
            </w:r>
            <w:r w:rsidR="00F1438A">
              <w:rPr>
                <w:b/>
                <w:color w:val="000000"/>
                <w:sz w:val="24"/>
              </w:rPr>
              <w:t> 642 385</w:t>
            </w:r>
            <w:r w:rsidRPr="008A1E39">
              <w:rPr>
                <w:b/>
                <w:color w:val="000000"/>
                <w:sz w:val="24"/>
              </w:rPr>
              <w:t>,00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1E39" w:rsidRPr="008A1E39" w:rsidRDefault="008A1E39" w:rsidP="008A1E39">
            <w:pPr>
              <w:spacing w:before="100" w:beforeAutospacing="1"/>
              <w:ind w:right="-284"/>
              <w:jc w:val="center"/>
              <w:rPr>
                <w:b/>
                <w:color w:val="000000"/>
                <w:sz w:val="24"/>
              </w:rPr>
            </w:pPr>
            <w:r w:rsidRPr="008A1E39">
              <w:rPr>
                <w:b/>
                <w:color w:val="000000"/>
                <w:sz w:val="24"/>
              </w:rPr>
              <w:t>6 067 670,00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1E39" w:rsidRPr="008A1E39" w:rsidRDefault="008A1E39" w:rsidP="008A1E39">
            <w:pPr>
              <w:spacing w:before="100" w:beforeAutospacing="1"/>
              <w:ind w:right="-284"/>
              <w:jc w:val="center"/>
              <w:rPr>
                <w:b/>
                <w:color w:val="000000"/>
                <w:sz w:val="24"/>
              </w:rPr>
            </w:pPr>
            <w:r w:rsidRPr="008A1E39">
              <w:rPr>
                <w:b/>
                <w:color w:val="000000"/>
                <w:sz w:val="24"/>
              </w:rPr>
              <w:t>6 384 390,00</w:t>
            </w:r>
          </w:p>
        </w:tc>
      </w:tr>
      <w:tr w:rsidR="008A1E39" w:rsidRPr="003D6C39" w:rsidTr="00C7220D">
        <w:trPr>
          <w:trHeight w:val="5556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39" w:rsidRPr="008A1E39" w:rsidRDefault="008A1E39" w:rsidP="00BC789D">
            <w:pPr>
              <w:ind w:right="-284"/>
              <w:rPr>
                <w:color w:val="000000"/>
                <w:sz w:val="24"/>
                <w:lang w:eastAsia="ar-SA"/>
              </w:rPr>
            </w:pPr>
            <w:r w:rsidRPr="008A1E39">
              <w:rPr>
                <w:color w:val="000000"/>
                <w:sz w:val="24"/>
                <w:lang w:eastAsia="ar-SA"/>
              </w:rPr>
              <w:t>1.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39" w:rsidRPr="008A1E39" w:rsidRDefault="008A1E39" w:rsidP="00BC789D">
            <w:pPr>
              <w:tabs>
                <w:tab w:val="left" w:pos="4351"/>
              </w:tabs>
              <w:spacing w:before="100" w:beforeAutospacing="1"/>
              <w:ind w:right="-114"/>
              <w:rPr>
                <w:b/>
                <w:color w:val="000000"/>
                <w:sz w:val="24"/>
              </w:rPr>
            </w:pPr>
            <w:r w:rsidRPr="008A1E39">
              <w:rPr>
                <w:sz w:val="24"/>
              </w:rPr>
              <w:t xml:space="preserve">Одноразова матеріальна допомога демобілізованим учасникам бойових дій, які брали безпосередню участь в АТО, ООС, особам, які у складі добровольчих батальйонів </w:t>
            </w:r>
            <w:r w:rsidRPr="008A1E39">
              <w:rPr>
                <w:sz w:val="24"/>
                <w:lang w:eastAsia="uk-UA"/>
              </w:rPr>
              <w:t xml:space="preserve">брали безпосередню участь в АТО, </w:t>
            </w:r>
            <w:r w:rsidRPr="008A1E39">
              <w:rPr>
                <w:sz w:val="24"/>
              </w:rPr>
              <w:t xml:space="preserve">особам з інвалідністю внаслідок війни із числа учасників, </w:t>
            </w:r>
            <w:r w:rsidRPr="008A1E39">
              <w:rPr>
                <w:sz w:val="24"/>
                <w:lang w:eastAsia="uk-UA"/>
              </w:rPr>
              <w:t xml:space="preserve">які брали безпосередню участь АТО, ООС, </w:t>
            </w:r>
            <w:r w:rsidRPr="008A1E39">
              <w:rPr>
                <w:sz w:val="24"/>
              </w:rPr>
              <w:t xml:space="preserve">постраждалим учасникам Революції Гідності; учасникам--добровольцям, які брали участь в АТО, </w:t>
            </w:r>
            <w:r w:rsidRPr="008A1E39">
              <w:rPr>
                <w:rFonts w:cs="Arial"/>
                <w:bCs/>
                <w:kern w:val="32"/>
                <w:sz w:val="24"/>
              </w:rPr>
              <w:t xml:space="preserve">членам сімей загиблих (померлих) учасників, </w:t>
            </w:r>
            <w:r w:rsidRPr="008A1E39">
              <w:rPr>
                <w:sz w:val="24"/>
                <w:lang w:eastAsia="uk-UA"/>
              </w:rPr>
              <w:t xml:space="preserve">які брали безпосередню участь в АТО, ООС  </w:t>
            </w:r>
            <w:r w:rsidRPr="008A1E39">
              <w:rPr>
                <w:rFonts w:cs="Arial"/>
                <w:bCs/>
                <w:kern w:val="32"/>
                <w:sz w:val="24"/>
              </w:rPr>
              <w:t xml:space="preserve">та </w:t>
            </w:r>
            <w:r w:rsidRPr="008A1E39">
              <w:rPr>
                <w:sz w:val="24"/>
              </w:rPr>
              <w:t>постраждалим учасникам Революції Гідності; членам сімей загиблих (померлих) учасників АТО, ООС на виготовлення та встановлення пам’ятників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E39" w:rsidRPr="008A1E39" w:rsidRDefault="008A1E39" w:rsidP="008A1E39">
            <w:pPr>
              <w:ind w:right="-249"/>
              <w:jc w:val="center"/>
              <w:rPr>
                <w:b/>
                <w:sz w:val="24"/>
              </w:rPr>
            </w:pPr>
            <w:r w:rsidRPr="008A1E39">
              <w:rPr>
                <w:b/>
                <w:color w:val="000000"/>
                <w:sz w:val="24"/>
              </w:rPr>
              <w:t>5 </w:t>
            </w:r>
            <w:r w:rsidR="00F1438A">
              <w:rPr>
                <w:b/>
                <w:color w:val="000000"/>
                <w:sz w:val="24"/>
              </w:rPr>
              <w:t>3</w:t>
            </w:r>
            <w:r w:rsidRPr="008A1E39">
              <w:rPr>
                <w:b/>
                <w:color w:val="000000"/>
                <w:sz w:val="24"/>
              </w:rPr>
              <w:t>59 000,00</w:t>
            </w: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  <w:r w:rsidRPr="008A1E39">
              <w:rPr>
                <w:b/>
                <w:sz w:val="24"/>
              </w:rPr>
              <w:t>110</w:t>
            </w:r>
            <w:r w:rsidR="00C7220D">
              <w:rPr>
                <w:b/>
                <w:sz w:val="24"/>
              </w:rPr>
              <w:t>3</w:t>
            </w:r>
            <w:r w:rsidRPr="008A1E39">
              <w:rPr>
                <w:b/>
                <w:sz w:val="24"/>
              </w:rPr>
              <w:t xml:space="preserve"> </w:t>
            </w:r>
            <w:proofErr w:type="spellStart"/>
            <w:r w:rsidRPr="008A1E39">
              <w:rPr>
                <w:b/>
                <w:sz w:val="24"/>
              </w:rPr>
              <w:t>чол</w:t>
            </w:r>
            <w:proofErr w:type="spellEnd"/>
            <w:r w:rsidRPr="008A1E39">
              <w:rPr>
                <w:b/>
                <w:sz w:val="24"/>
              </w:rPr>
              <w:t>.</w:t>
            </w: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color w:val="000000"/>
                <w:sz w:val="24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  <w:r w:rsidRPr="008A1E39">
              <w:rPr>
                <w:b/>
                <w:color w:val="000000"/>
                <w:sz w:val="24"/>
              </w:rPr>
              <w:t>5 978 000,00</w:t>
            </w: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  <w:r w:rsidRPr="008A1E39">
              <w:rPr>
                <w:b/>
                <w:sz w:val="24"/>
              </w:rPr>
              <w:t xml:space="preserve">1130 </w:t>
            </w:r>
            <w:proofErr w:type="spellStart"/>
            <w:r w:rsidRPr="008A1E39">
              <w:rPr>
                <w:b/>
                <w:sz w:val="24"/>
              </w:rPr>
              <w:t>чол</w:t>
            </w:r>
            <w:proofErr w:type="spellEnd"/>
            <w:r w:rsidRPr="008A1E39">
              <w:rPr>
                <w:b/>
                <w:sz w:val="24"/>
              </w:rPr>
              <w:t>.</w:t>
            </w: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C7220D">
            <w:pPr>
              <w:ind w:right="-249"/>
              <w:rPr>
                <w:color w:val="000000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  <w:r w:rsidRPr="008A1E39">
              <w:rPr>
                <w:b/>
                <w:sz w:val="24"/>
              </w:rPr>
              <w:t>6 722 000,00</w:t>
            </w: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  <w:r w:rsidRPr="008A1E39">
              <w:rPr>
                <w:b/>
                <w:sz w:val="24"/>
              </w:rPr>
              <w:t xml:space="preserve">1157 </w:t>
            </w:r>
            <w:proofErr w:type="spellStart"/>
            <w:r w:rsidRPr="008A1E39">
              <w:rPr>
                <w:b/>
                <w:sz w:val="24"/>
              </w:rPr>
              <w:t>чол</w:t>
            </w:r>
            <w:proofErr w:type="spellEnd"/>
            <w:r w:rsidRPr="008A1E39">
              <w:rPr>
                <w:b/>
                <w:sz w:val="24"/>
              </w:rPr>
              <w:t>.</w:t>
            </w: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8A1E39">
            <w:pPr>
              <w:ind w:left="-101" w:right="-249"/>
              <w:jc w:val="center"/>
              <w:rPr>
                <w:sz w:val="24"/>
              </w:rPr>
            </w:pPr>
          </w:p>
          <w:p w:rsidR="008A1E39" w:rsidRPr="008A1E39" w:rsidRDefault="008A1E39" w:rsidP="00C7220D">
            <w:pPr>
              <w:ind w:right="-249"/>
              <w:rPr>
                <w:color w:val="000000"/>
                <w:sz w:val="24"/>
              </w:rPr>
            </w:pPr>
          </w:p>
        </w:tc>
      </w:tr>
      <w:tr w:rsidR="00FB3A37" w:rsidRPr="003D6C39" w:rsidTr="00C7220D">
        <w:trPr>
          <w:trHeight w:val="3016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37" w:rsidRPr="008A1E39" w:rsidRDefault="00FB3A37" w:rsidP="00BC789D">
            <w:pPr>
              <w:ind w:right="-284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2.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37" w:rsidRPr="00C7220D" w:rsidRDefault="00F56BFD" w:rsidP="00CA52BB">
            <w:pPr>
              <w:tabs>
                <w:tab w:val="left" w:pos="4351"/>
              </w:tabs>
              <w:spacing w:before="100" w:beforeAutospacing="1"/>
              <w:ind w:right="-114"/>
              <w:rPr>
                <w:sz w:val="24"/>
              </w:rPr>
            </w:pPr>
            <w:r w:rsidRPr="008A1E39">
              <w:rPr>
                <w:sz w:val="24"/>
              </w:rPr>
              <w:t xml:space="preserve">Одноразова матеріальна допомога </w:t>
            </w:r>
            <w:r>
              <w:rPr>
                <w:sz w:val="24"/>
              </w:rPr>
              <w:t>ч</w:t>
            </w:r>
            <w:r w:rsidR="00FB3A37" w:rsidRPr="00C7220D">
              <w:rPr>
                <w:sz w:val="24"/>
              </w:rPr>
              <w:t>ленам сімей загиблих учасників антитерористичної операції</w:t>
            </w:r>
            <w:r w:rsidR="00CA52BB">
              <w:rPr>
                <w:sz w:val="24"/>
              </w:rPr>
              <w:t>,</w:t>
            </w:r>
            <w:r w:rsidR="00FB3A37" w:rsidRPr="00C7220D">
              <w:rPr>
                <w:sz w:val="24"/>
              </w:rPr>
              <w:t xml:space="preserve"> які загинули </w:t>
            </w:r>
            <w:r w:rsidR="00FB3A37" w:rsidRPr="00C7220D">
              <w:rPr>
                <w:color w:val="000000"/>
                <w:sz w:val="24"/>
                <w:shd w:val="clear" w:color="auto" w:fill="FFFFFF"/>
              </w:rPr>
              <w:t xml:space="preserve">під час безпосередньої участі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Луганських областях, перебуваючи в районах та у період здійснення зазначених заходів, </w:t>
            </w:r>
            <w:r w:rsidR="00CA52BB">
              <w:rPr>
                <w:color w:val="000000"/>
                <w:sz w:val="24"/>
                <w:shd w:val="clear" w:color="auto" w:fill="FFFFFF"/>
              </w:rPr>
              <w:t xml:space="preserve">у розмірі 100 000,00 грн </w:t>
            </w:r>
            <w:r w:rsidR="00FB3A37" w:rsidRPr="00C7220D">
              <w:rPr>
                <w:color w:val="000000"/>
                <w:sz w:val="24"/>
                <w:shd w:val="clear" w:color="auto" w:fill="FFFFFF"/>
              </w:rPr>
              <w:t>на сім’ю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20D" w:rsidRDefault="00F1438A" w:rsidP="008A1E39">
            <w:pPr>
              <w:ind w:right="-24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 w:rsidR="00C7220D">
              <w:rPr>
                <w:b/>
                <w:color w:val="000000"/>
                <w:sz w:val="24"/>
              </w:rPr>
              <w:t>00 000,00</w:t>
            </w:r>
          </w:p>
          <w:p w:rsidR="00C7220D" w:rsidRDefault="00C7220D" w:rsidP="008A1E39">
            <w:pPr>
              <w:ind w:right="-249"/>
              <w:jc w:val="center"/>
              <w:rPr>
                <w:b/>
                <w:color w:val="000000"/>
                <w:sz w:val="24"/>
              </w:rPr>
            </w:pPr>
          </w:p>
          <w:p w:rsidR="00C7220D" w:rsidRDefault="00C7220D" w:rsidP="008A1E39">
            <w:pPr>
              <w:ind w:right="-249"/>
              <w:jc w:val="center"/>
              <w:rPr>
                <w:b/>
                <w:color w:val="000000"/>
                <w:sz w:val="24"/>
              </w:rPr>
            </w:pPr>
          </w:p>
          <w:p w:rsidR="00C7220D" w:rsidRDefault="00C7220D" w:rsidP="008A1E39">
            <w:pPr>
              <w:ind w:right="-249"/>
              <w:jc w:val="center"/>
              <w:rPr>
                <w:b/>
                <w:color w:val="000000"/>
                <w:sz w:val="24"/>
              </w:rPr>
            </w:pPr>
          </w:p>
          <w:p w:rsidR="00C7220D" w:rsidRDefault="00C7220D" w:rsidP="008A1E39">
            <w:pPr>
              <w:ind w:right="-249"/>
              <w:jc w:val="center"/>
              <w:rPr>
                <w:b/>
                <w:color w:val="000000"/>
                <w:sz w:val="24"/>
              </w:rPr>
            </w:pPr>
          </w:p>
          <w:p w:rsidR="00C7220D" w:rsidRDefault="00C7220D" w:rsidP="008A1E39">
            <w:pPr>
              <w:ind w:right="-249"/>
              <w:jc w:val="center"/>
              <w:rPr>
                <w:b/>
                <w:color w:val="000000"/>
                <w:sz w:val="24"/>
              </w:rPr>
            </w:pPr>
          </w:p>
          <w:p w:rsidR="00C7220D" w:rsidRDefault="00C7220D" w:rsidP="008A1E39">
            <w:pPr>
              <w:ind w:right="-249"/>
              <w:jc w:val="center"/>
              <w:rPr>
                <w:b/>
                <w:color w:val="000000"/>
                <w:sz w:val="24"/>
              </w:rPr>
            </w:pPr>
          </w:p>
          <w:p w:rsidR="00FB3A37" w:rsidRPr="008A1E39" w:rsidRDefault="00F1438A" w:rsidP="008A1E39">
            <w:pPr>
              <w:ind w:right="-24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 w:rsidR="00C7220D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="00C7220D">
              <w:rPr>
                <w:b/>
                <w:color w:val="000000"/>
                <w:sz w:val="24"/>
              </w:rPr>
              <w:t>чол</w:t>
            </w:r>
            <w:proofErr w:type="spellEnd"/>
            <w:r w:rsidR="00C7220D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20D" w:rsidRDefault="00C7220D" w:rsidP="008A1E39">
            <w:pPr>
              <w:ind w:left="-101" w:right="-24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-</w:t>
            </w:r>
          </w:p>
          <w:p w:rsidR="00C7220D" w:rsidRDefault="00C7220D" w:rsidP="008A1E39">
            <w:pPr>
              <w:ind w:left="-101" w:right="-249"/>
              <w:jc w:val="center"/>
              <w:rPr>
                <w:b/>
                <w:color w:val="000000"/>
                <w:sz w:val="24"/>
              </w:rPr>
            </w:pPr>
          </w:p>
          <w:p w:rsidR="00C7220D" w:rsidRDefault="00C7220D" w:rsidP="008A1E39">
            <w:pPr>
              <w:ind w:left="-101" w:right="-249"/>
              <w:jc w:val="center"/>
              <w:rPr>
                <w:b/>
                <w:color w:val="000000"/>
                <w:sz w:val="24"/>
              </w:rPr>
            </w:pPr>
          </w:p>
          <w:p w:rsidR="00C7220D" w:rsidRDefault="00C7220D" w:rsidP="008A1E39">
            <w:pPr>
              <w:ind w:left="-101" w:right="-249"/>
              <w:jc w:val="center"/>
              <w:rPr>
                <w:b/>
                <w:color w:val="000000"/>
                <w:sz w:val="24"/>
              </w:rPr>
            </w:pPr>
          </w:p>
          <w:p w:rsidR="00C7220D" w:rsidRDefault="00C7220D" w:rsidP="008A1E39">
            <w:pPr>
              <w:ind w:left="-101" w:right="-249"/>
              <w:jc w:val="center"/>
              <w:rPr>
                <w:b/>
                <w:color w:val="000000"/>
                <w:sz w:val="24"/>
              </w:rPr>
            </w:pPr>
          </w:p>
          <w:p w:rsidR="00C7220D" w:rsidRDefault="00C7220D" w:rsidP="008A1E39">
            <w:pPr>
              <w:ind w:left="-101" w:right="-249"/>
              <w:jc w:val="center"/>
              <w:rPr>
                <w:b/>
                <w:color w:val="000000"/>
                <w:sz w:val="24"/>
              </w:rPr>
            </w:pPr>
          </w:p>
          <w:p w:rsidR="00C7220D" w:rsidRDefault="00C7220D" w:rsidP="008A1E39">
            <w:pPr>
              <w:ind w:left="-101" w:right="-249"/>
              <w:jc w:val="center"/>
              <w:rPr>
                <w:b/>
                <w:color w:val="000000"/>
                <w:sz w:val="24"/>
              </w:rPr>
            </w:pPr>
          </w:p>
          <w:p w:rsidR="00FB3A37" w:rsidRPr="00C7220D" w:rsidRDefault="00C7220D" w:rsidP="008A1E39">
            <w:pPr>
              <w:ind w:left="-101" w:right="-249"/>
              <w:jc w:val="center"/>
              <w:rPr>
                <w:b/>
                <w:color w:val="000000"/>
                <w:sz w:val="24"/>
              </w:rPr>
            </w:pPr>
            <w:r w:rsidRPr="00C7220D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20D" w:rsidRDefault="00C7220D" w:rsidP="008A1E39">
            <w:pPr>
              <w:ind w:left="-101" w:right="-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  <w:p w:rsidR="00C7220D" w:rsidRDefault="00C7220D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C7220D" w:rsidRDefault="00C7220D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C7220D" w:rsidRDefault="00C7220D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C7220D" w:rsidRDefault="00C7220D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C7220D" w:rsidRDefault="00C7220D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C7220D" w:rsidRDefault="00C7220D" w:rsidP="008A1E39">
            <w:pPr>
              <w:ind w:left="-101" w:right="-249"/>
              <w:jc w:val="center"/>
              <w:rPr>
                <w:b/>
                <w:sz w:val="24"/>
              </w:rPr>
            </w:pPr>
          </w:p>
          <w:p w:rsidR="00FB3A37" w:rsidRPr="00C7220D" w:rsidRDefault="00C7220D" w:rsidP="008A1E39">
            <w:pPr>
              <w:ind w:left="-101" w:right="-249"/>
              <w:jc w:val="center"/>
              <w:rPr>
                <w:b/>
                <w:sz w:val="24"/>
              </w:rPr>
            </w:pPr>
            <w:r w:rsidRPr="00C7220D">
              <w:rPr>
                <w:b/>
                <w:sz w:val="24"/>
              </w:rPr>
              <w:t>-</w:t>
            </w:r>
          </w:p>
        </w:tc>
      </w:tr>
      <w:tr w:rsidR="008A1E39" w:rsidRPr="003D6C39" w:rsidTr="008A1E39">
        <w:trPr>
          <w:trHeight w:val="274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39" w:rsidRPr="008A1E39" w:rsidRDefault="00FB3A37" w:rsidP="00BC789D">
            <w:pPr>
              <w:spacing w:before="100" w:beforeAutospacing="1"/>
              <w:ind w:right="-28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39" w:rsidRPr="008A1E39" w:rsidRDefault="008A1E39" w:rsidP="00BC789D">
            <w:pPr>
              <w:ind w:right="-284"/>
              <w:rPr>
                <w:sz w:val="24"/>
              </w:rPr>
            </w:pPr>
            <w:r w:rsidRPr="008A1E39">
              <w:rPr>
                <w:sz w:val="24"/>
              </w:rPr>
              <w:t>Касове обслуговування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E39" w:rsidRPr="008A1E39" w:rsidRDefault="00F1438A" w:rsidP="00072BAF">
            <w:pPr>
              <w:ind w:left="-101" w:right="-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83 385</w:t>
            </w:r>
            <w:r w:rsidR="00072BAF">
              <w:rPr>
                <w:b/>
                <w:sz w:val="24"/>
              </w:rPr>
              <w:t>,</w:t>
            </w:r>
            <w:r w:rsidR="008A1E39" w:rsidRPr="008A1E39">
              <w:rPr>
                <w:b/>
                <w:sz w:val="24"/>
              </w:rPr>
              <w:t>00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E39" w:rsidRPr="008A1E39" w:rsidRDefault="008A1E39" w:rsidP="00BC789D">
            <w:pPr>
              <w:ind w:left="-101" w:right="-249"/>
              <w:jc w:val="center"/>
              <w:rPr>
                <w:b/>
                <w:sz w:val="24"/>
              </w:rPr>
            </w:pPr>
            <w:r w:rsidRPr="008A1E39">
              <w:rPr>
                <w:b/>
                <w:sz w:val="24"/>
              </w:rPr>
              <w:t>89 670,00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E39" w:rsidRPr="008A1E39" w:rsidRDefault="008A1E39" w:rsidP="00BC789D">
            <w:pPr>
              <w:ind w:left="-101" w:right="-249"/>
              <w:jc w:val="center"/>
              <w:rPr>
                <w:b/>
                <w:sz w:val="24"/>
              </w:rPr>
            </w:pPr>
            <w:r w:rsidRPr="008A1E39">
              <w:rPr>
                <w:b/>
                <w:sz w:val="24"/>
              </w:rPr>
              <w:t>94 350,00</w:t>
            </w:r>
          </w:p>
        </w:tc>
      </w:tr>
    </w:tbl>
    <w:p w:rsidR="00D52AFC" w:rsidRPr="008F10F3" w:rsidRDefault="00D52AFC" w:rsidP="00D52AFC">
      <w:pPr>
        <w:jc w:val="both"/>
        <w:rPr>
          <w:b/>
          <w:szCs w:val="28"/>
        </w:rPr>
      </w:pPr>
      <w:r w:rsidRPr="008F10F3">
        <w:rPr>
          <w:b/>
          <w:szCs w:val="28"/>
        </w:rPr>
        <w:t xml:space="preserve">Директор </w:t>
      </w:r>
      <w:r>
        <w:rPr>
          <w:b/>
          <w:szCs w:val="28"/>
        </w:rPr>
        <w:t>Д</w:t>
      </w:r>
      <w:r w:rsidRPr="008F10F3">
        <w:rPr>
          <w:b/>
          <w:szCs w:val="28"/>
        </w:rPr>
        <w:t xml:space="preserve">епартаменту </w:t>
      </w:r>
    </w:p>
    <w:p w:rsidR="00D52AFC" w:rsidRPr="008F10F3" w:rsidRDefault="00D52AFC" w:rsidP="00D52AFC">
      <w:pPr>
        <w:jc w:val="both"/>
        <w:rPr>
          <w:b/>
          <w:szCs w:val="28"/>
        </w:rPr>
      </w:pPr>
      <w:r w:rsidRPr="008F10F3">
        <w:rPr>
          <w:b/>
          <w:szCs w:val="28"/>
        </w:rPr>
        <w:t xml:space="preserve">соціального захисту населення </w:t>
      </w:r>
    </w:p>
    <w:p w:rsidR="00D52AFC" w:rsidRDefault="00D52AFC" w:rsidP="00D52AFC">
      <w:pPr>
        <w:tabs>
          <w:tab w:val="left" w:pos="7088"/>
        </w:tabs>
        <w:jc w:val="both"/>
        <w:rPr>
          <w:b/>
          <w:szCs w:val="28"/>
        </w:rPr>
      </w:pPr>
      <w:r w:rsidRPr="008F10F3">
        <w:rPr>
          <w:b/>
          <w:szCs w:val="28"/>
        </w:rPr>
        <w:t>Кременчуцької міської ради</w:t>
      </w:r>
    </w:p>
    <w:p w:rsidR="00D52AFC" w:rsidRPr="008F10F3" w:rsidRDefault="00D52AFC" w:rsidP="00D52AFC">
      <w:pPr>
        <w:tabs>
          <w:tab w:val="left" w:pos="7088"/>
        </w:tabs>
        <w:jc w:val="both"/>
        <w:rPr>
          <w:b/>
          <w:szCs w:val="28"/>
        </w:rPr>
      </w:pPr>
      <w:r>
        <w:rPr>
          <w:b/>
          <w:szCs w:val="28"/>
        </w:rPr>
        <w:t>Кременчуцького району</w:t>
      </w:r>
      <w:r w:rsidRPr="008F10F3">
        <w:rPr>
          <w:b/>
          <w:szCs w:val="28"/>
        </w:rPr>
        <w:tab/>
        <w:t xml:space="preserve"> </w:t>
      </w:r>
    </w:p>
    <w:p w:rsidR="00D52AFC" w:rsidRDefault="00D52AFC" w:rsidP="00D437CB">
      <w:pPr>
        <w:tabs>
          <w:tab w:val="left" w:pos="7088"/>
        </w:tabs>
        <w:jc w:val="both"/>
      </w:pPr>
      <w:r w:rsidRPr="008F10F3">
        <w:rPr>
          <w:b/>
          <w:szCs w:val="28"/>
        </w:rPr>
        <w:t xml:space="preserve">Полтавської області </w:t>
      </w:r>
      <w:r w:rsidRPr="008F10F3">
        <w:rPr>
          <w:b/>
          <w:szCs w:val="28"/>
        </w:rPr>
        <w:tab/>
        <w:t>М. ДОЦЕНКО</w:t>
      </w:r>
    </w:p>
    <w:sectPr w:rsidR="00D52AFC" w:rsidSect="00F56BF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7"/>
    <w:rsid w:val="00011C28"/>
    <w:rsid w:val="00011F2A"/>
    <w:rsid w:val="00072BAF"/>
    <w:rsid w:val="002C139A"/>
    <w:rsid w:val="002D071E"/>
    <w:rsid w:val="007842D7"/>
    <w:rsid w:val="008A1E39"/>
    <w:rsid w:val="009057D4"/>
    <w:rsid w:val="00954E4F"/>
    <w:rsid w:val="00BF7BED"/>
    <w:rsid w:val="00C7220D"/>
    <w:rsid w:val="00CA52BB"/>
    <w:rsid w:val="00D437CB"/>
    <w:rsid w:val="00D52AFC"/>
    <w:rsid w:val="00D65924"/>
    <w:rsid w:val="00F140F9"/>
    <w:rsid w:val="00F1438A"/>
    <w:rsid w:val="00F56BFD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A23F"/>
  <w15:chartTrackingRefBased/>
  <w15:docId w15:val="{B42A6558-C441-42FF-8A94-FE5F38DD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C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2021-03-09T11:03:00Z</cp:lastPrinted>
  <dcterms:created xsi:type="dcterms:W3CDTF">2021-02-24T07:40:00Z</dcterms:created>
  <dcterms:modified xsi:type="dcterms:W3CDTF">2021-03-09T11:03:00Z</dcterms:modified>
</cp:coreProperties>
</file>