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20" w:rsidRDefault="00624CC5" w:rsidP="00A20420">
      <w:pPr>
        <w:ind w:left="6237"/>
        <w:rPr>
          <w:rFonts w:ascii="Times New Roman" w:hAnsi="Times New Roman"/>
          <w:b/>
          <w:sz w:val="28"/>
        </w:rPr>
      </w:pPr>
      <w:r w:rsidRPr="00624CC5">
        <w:rPr>
          <w:rFonts w:ascii="Times New Roman" w:hAnsi="Times New Roman"/>
          <w:b/>
          <w:sz w:val="28"/>
        </w:rPr>
        <w:t>Додаток</w:t>
      </w:r>
    </w:p>
    <w:p w:rsidR="00A20420" w:rsidRDefault="001811AD" w:rsidP="00A20420">
      <w:pPr>
        <w:ind w:left="623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 </w:t>
      </w:r>
      <w:r w:rsidR="00624CC5" w:rsidRPr="00624CC5">
        <w:rPr>
          <w:rFonts w:ascii="Times New Roman" w:hAnsi="Times New Roman"/>
          <w:b/>
          <w:sz w:val="28"/>
        </w:rPr>
        <w:t>рішення</w:t>
      </w:r>
      <w:r w:rsidR="00A20420">
        <w:rPr>
          <w:rFonts w:ascii="Times New Roman" w:hAnsi="Times New Roman"/>
          <w:b/>
          <w:sz w:val="28"/>
        </w:rPr>
        <w:t xml:space="preserve"> </w:t>
      </w:r>
      <w:r w:rsidR="00624CC5" w:rsidRPr="00624CC5">
        <w:rPr>
          <w:rFonts w:ascii="Times New Roman" w:hAnsi="Times New Roman"/>
          <w:b/>
          <w:sz w:val="28"/>
        </w:rPr>
        <w:t>міської ради</w:t>
      </w:r>
      <w:r w:rsidR="00127F59">
        <w:rPr>
          <w:rFonts w:ascii="Times New Roman" w:hAnsi="Times New Roman"/>
          <w:b/>
          <w:sz w:val="28"/>
        </w:rPr>
        <w:t xml:space="preserve"> </w:t>
      </w:r>
    </w:p>
    <w:p w:rsidR="00624CC5" w:rsidRPr="00624CC5" w:rsidRDefault="00127F59" w:rsidP="00A20420">
      <w:pPr>
        <w:ind w:left="623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від 03 вересня 2020 року</w:t>
      </w:r>
    </w:p>
    <w:p w:rsidR="003402BE" w:rsidRDefault="003402BE" w:rsidP="003402BE">
      <w:pPr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624CC5" w:rsidRPr="003402BE" w:rsidRDefault="003402BE" w:rsidP="003402BE">
      <w:pPr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402BE">
        <w:rPr>
          <w:rFonts w:ascii="Times New Roman" w:hAnsi="Times New Roman"/>
          <w:b/>
          <w:noProof/>
          <w:sz w:val="28"/>
          <w:szCs w:val="28"/>
          <w:lang w:eastAsia="uk-UA"/>
        </w:rPr>
        <w:t>Анотація проєкту</w:t>
      </w:r>
      <w:r>
        <w:rPr>
          <w:rFonts w:ascii="Times New Roman" w:hAnsi="Times New Roman"/>
          <w:b/>
          <w:noProof/>
          <w:sz w:val="28"/>
          <w:szCs w:val="28"/>
          <w:lang w:eastAsia="uk-UA"/>
        </w:rPr>
        <w:t>, який планується до</w:t>
      </w:r>
      <w:r w:rsidRPr="003402B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участі в обласному конкурсі проєктів розвитку територіальних громад Полтавської області 2020 року</w:t>
      </w:r>
    </w:p>
    <w:p w:rsidR="003402BE" w:rsidRDefault="003402BE" w:rsidP="00A838DC">
      <w:pPr>
        <w:rPr>
          <w:rFonts w:ascii="Times New Roman" w:hAnsi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162"/>
      </w:tblGrid>
      <w:tr w:rsidR="00624CC5" w:rsidRPr="00AF52A9" w:rsidTr="00AF52A9"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44021B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Назва про</w:t>
            </w:r>
            <w:r w:rsidR="0044021B">
              <w:rPr>
                <w:bCs/>
                <w:sz w:val="28"/>
                <w:szCs w:val="28"/>
                <w:lang w:val="uk-UA"/>
              </w:rPr>
              <w:t>є</w:t>
            </w:r>
            <w:r w:rsidRPr="00AF52A9">
              <w:rPr>
                <w:bCs/>
                <w:sz w:val="28"/>
                <w:szCs w:val="28"/>
                <w:lang w:val="uk-UA"/>
              </w:rPr>
              <w:t>кту: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3E28D2">
            <w:pPr>
              <w:pStyle w:val="FigureUkr"/>
              <w:spacing w:before="0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  <w:r w:rsidRPr="00AF52A9">
              <w:rPr>
                <w:rFonts w:ascii="Times New Roman" w:hAnsi="Times New Roman"/>
                <w:sz w:val="28"/>
                <w:szCs w:val="28"/>
                <w:lang w:val="uk-UA" w:eastAsia="it-IT"/>
              </w:rPr>
              <w:t>Організація автоматизованої системи моніторингу атмосферного повітря у місті Кременчу</w:t>
            </w:r>
            <w:r w:rsidR="003E28D2">
              <w:rPr>
                <w:rFonts w:ascii="Times New Roman" w:hAnsi="Times New Roman"/>
                <w:sz w:val="28"/>
                <w:szCs w:val="28"/>
                <w:lang w:val="uk-UA" w:eastAsia="it-IT"/>
              </w:rPr>
              <w:t>ці</w:t>
            </w:r>
          </w:p>
        </w:tc>
      </w:tr>
      <w:tr w:rsidR="00624CC5" w:rsidRPr="00AF52A9" w:rsidTr="00AF52A9">
        <w:trPr>
          <w:trHeight w:val="41"/>
        </w:trPr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44021B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Цілі про</w:t>
            </w:r>
            <w:r w:rsidR="0044021B">
              <w:rPr>
                <w:bCs/>
                <w:sz w:val="28"/>
                <w:szCs w:val="28"/>
                <w:lang w:val="uk-UA"/>
              </w:rPr>
              <w:t>є</w:t>
            </w:r>
            <w:r w:rsidRPr="00AF52A9">
              <w:rPr>
                <w:bCs/>
                <w:sz w:val="28"/>
                <w:szCs w:val="28"/>
                <w:lang w:val="uk-UA"/>
              </w:rPr>
              <w:t>кту: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C40A4A">
            <w:pPr>
              <w:jc w:val="both"/>
              <w:rPr>
                <w:rFonts w:ascii="Times New Roman" w:hAnsi="Times New Roman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Поліпшення екологічної інфраструктури, зменшення ризику виникнення природних та техногенних катастроф</w:t>
            </w:r>
          </w:p>
        </w:tc>
      </w:tr>
      <w:tr w:rsidR="00624CC5" w:rsidRPr="00AF52A9" w:rsidTr="00AF52A9">
        <w:trPr>
          <w:trHeight w:val="56"/>
        </w:trPr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C40A4A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Територія впливу проекту: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C40A4A">
            <w:pPr>
              <w:rPr>
                <w:rFonts w:ascii="Times New Roman" w:hAnsi="Times New Roman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sz w:val="28"/>
                <w:szCs w:val="28"/>
                <w:lang w:eastAsia="it-IT"/>
              </w:rPr>
              <w:t>м. Кременчук, Кременчуцький район</w:t>
            </w:r>
          </w:p>
        </w:tc>
      </w:tr>
      <w:tr w:rsidR="00624CC5" w:rsidRPr="00AF52A9" w:rsidTr="00AF52A9">
        <w:trPr>
          <w:trHeight w:val="56"/>
        </w:trPr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C40A4A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Орієнтовна кількість отримувачів вигоди: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C40A4A">
            <w:pPr>
              <w:rPr>
                <w:rFonts w:ascii="Times New Roman" w:hAnsi="Times New Roman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sz w:val="28"/>
                <w:szCs w:val="28"/>
                <w:lang w:eastAsia="it-IT"/>
              </w:rPr>
              <w:t>250 000 осіб</w:t>
            </w:r>
          </w:p>
        </w:tc>
      </w:tr>
      <w:tr w:rsidR="00624CC5" w:rsidRPr="00AF52A9" w:rsidTr="00AF52A9"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44021B">
            <w:pPr>
              <w:pStyle w:val="1"/>
              <w:rPr>
                <w:bCs/>
                <w:sz w:val="28"/>
                <w:szCs w:val="28"/>
                <w:highlight w:val="yellow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Стислий опис про</w:t>
            </w:r>
            <w:r w:rsidR="0044021B">
              <w:rPr>
                <w:bCs/>
                <w:sz w:val="28"/>
                <w:szCs w:val="28"/>
                <w:lang w:val="uk-UA"/>
              </w:rPr>
              <w:t>є</w:t>
            </w:r>
            <w:r w:rsidRPr="00AF52A9">
              <w:rPr>
                <w:bCs/>
                <w:sz w:val="28"/>
                <w:szCs w:val="28"/>
                <w:lang w:val="uk-UA"/>
              </w:rPr>
              <w:t>кту: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C40A4A">
            <w:pPr>
              <w:keepNext/>
              <w:widowControl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 xml:space="preserve">Місто Кременчук з його промисловістю, представленою підприємствами машинобудування, металургії, нафтохімії, енергетики, будівельної  індустрії, легкої та харчової промисловості, є джерелом забруднення навколишнього середовища Кременчуцького регіону і особливо його атмосферного повітря. У 2018 році від стаціонарних джерел забруднення у повітря надійшло 52 156 тис. </w:t>
            </w:r>
            <w:proofErr w:type="spellStart"/>
            <w:r w:rsidRPr="00AF52A9">
              <w:rPr>
                <w:rFonts w:ascii="Times New Roman" w:hAnsi="Times New Roman"/>
                <w:sz w:val="28"/>
                <w:szCs w:val="28"/>
              </w:rPr>
              <w:t>тонн</w:t>
            </w:r>
            <w:proofErr w:type="spellEnd"/>
            <w:r w:rsidRPr="00AF52A9">
              <w:rPr>
                <w:rFonts w:ascii="Times New Roman" w:hAnsi="Times New Roman"/>
                <w:sz w:val="28"/>
                <w:szCs w:val="28"/>
              </w:rPr>
              <w:t xml:space="preserve"> забруднюючих речовин (без урахування викидів діоксиду вуглецю). На місто Кременчук припадає 29,67 % від усіх викидів забруднюючих речовин в атмосферу стаціонарними джерелами.</w:t>
            </w:r>
          </w:p>
          <w:p w:rsidR="00624CC5" w:rsidRPr="00AF52A9" w:rsidRDefault="00624CC5" w:rsidP="00C40A4A">
            <w:pPr>
              <w:keepNext/>
              <w:widowControl w:val="0"/>
              <w:ind w:firstLine="567"/>
              <w:jc w:val="both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>За результатами спостережень загальний рівень забруднення атмосферного повітря міста в цілому за 2019 рік за індексом забруднення (ІЗА) характеризувався як підвищений. Пріоритетними домішками, які найбільше зумовлювали забруднення приземного шару атмосфери, виявились формальдегід, пил, діоксид азоту, оксид азоту, оксид вуглецю.</w:t>
            </w:r>
          </w:p>
          <w:p w:rsidR="00624CC5" w:rsidRPr="00AF52A9" w:rsidRDefault="00624CC5" w:rsidP="00C40A4A">
            <w:pPr>
              <w:keepNext/>
              <w:widowControl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>Індекс забруднення по цим забруднювальним речовинам становив 6,24. Порівняно з 2018 роком зменшився (було – 7,27) за рахунок зниження середнього вмісту формальдегіду та пилу. Рівень забруднення повітря в районі зупинки «</w:t>
            </w:r>
            <w:proofErr w:type="spellStart"/>
            <w:r w:rsidRPr="00AF52A9">
              <w:rPr>
                <w:rFonts w:ascii="Times New Roman" w:hAnsi="Times New Roman"/>
                <w:sz w:val="28"/>
                <w:szCs w:val="28"/>
              </w:rPr>
              <w:t>Кредмаш</w:t>
            </w:r>
            <w:proofErr w:type="spellEnd"/>
            <w:r w:rsidRPr="00AF52A9">
              <w:rPr>
                <w:rFonts w:ascii="Times New Roman" w:hAnsi="Times New Roman"/>
                <w:sz w:val="28"/>
                <w:szCs w:val="28"/>
              </w:rPr>
              <w:t>» виявився найвищим (ІЗА = 8,15) та оцінювався як високий. На Молодіжному ІЗА = 6,65 та в районі зупинки «Центральний ринок» ІЗА=6,22, характеризувався як підвищений. У Крюкові ІЗА = 4,18, оцінювався як низький.</w:t>
            </w:r>
          </w:p>
          <w:p w:rsidR="00624CC5" w:rsidRPr="00AF52A9" w:rsidRDefault="00624CC5" w:rsidP="00C40A4A">
            <w:pPr>
              <w:keepNext/>
              <w:widowControl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 xml:space="preserve">З метою вирішення проблеми забруднення атмосферного повітря у місті Кременчуці, яка пов’язана з роботою промислових підприємств і викидами автотранспорту та загострюється саме у літній період, </w:t>
            </w:r>
            <w:r w:rsidRPr="00AF52A9">
              <w:rPr>
                <w:rFonts w:ascii="Times New Roman" w:hAnsi="Times New Roman"/>
                <w:sz w:val="28"/>
                <w:szCs w:val="28"/>
              </w:rPr>
              <w:lastRenderedPageBreak/>
              <w:t>коли настають несприятливі метеорологічні умови для розсіювання забруднюючих речовин у повітрі розроблений проект щодо організації місцевої екологічної автоматизованої інформаційно-аналітичної системи постійного контролю і спостереження за забрудненням атмосферного повітря в місті Кременчуці з урахуванням фактичного стану техногенного впливу підприємств міста на формування потенційних зон забруднення.</w:t>
            </w:r>
          </w:p>
          <w:p w:rsidR="00624CC5" w:rsidRPr="00AF52A9" w:rsidRDefault="00624CC5" w:rsidP="004232F2">
            <w:pPr>
              <w:keepNext/>
              <w:widowControl w:val="0"/>
              <w:ind w:firstLine="567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it-IT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>Ефективність оновленої системи моніторингу та контролю стану атмосферного повітря буде базуватись на комплексній і постійній функціональній взаємодії всіх її елементів. Надалі</w:t>
            </w:r>
            <w:r w:rsidR="00D46AD4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="004232F2">
              <w:rPr>
                <w:rFonts w:ascii="Times New Roman" w:hAnsi="Times New Roman"/>
                <w:sz w:val="28"/>
                <w:szCs w:val="28"/>
              </w:rPr>
              <w:t>є</w:t>
            </w:r>
            <w:r w:rsidR="00D46AD4">
              <w:rPr>
                <w:rFonts w:ascii="Times New Roman" w:hAnsi="Times New Roman"/>
                <w:sz w:val="28"/>
                <w:szCs w:val="28"/>
              </w:rPr>
              <w:t>ктом передбачено його практичну реалізацію</w:t>
            </w:r>
            <w:r w:rsidRPr="00AF52A9">
              <w:rPr>
                <w:rFonts w:ascii="Times New Roman" w:hAnsi="Times New Roman"/>
                <w:sz w:val="28"/>
                <w:szCs w:val="28"/>
              </w:rPr>
              <w:t xml:space="preserve"> шляхом комплектації наборів аналітичного обладнання для забезпечення функціонування сучасної автоматизованої стаціонарної точки безперервного контролю (спостереження), а також вдосконалення та розширення діапазону вимірювань (модернізацію) і доукомплектування пересувної муніципальної екологічної лабораторії м. Кременчука.</w:t>
            </w:r>
          </w:p>
        </w:tc>
      </w:tr>
      <w:tr w:rsidR="00624CC5" w:rsidRPr="00AF52A9" w:rsidTr="00AF52A9">
        <w:trPr>
          <w:trHeight w:val="386"/>
        </w:trPr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C40A4A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lastRenderedPageBreak/>
              <w:t>Очікувані результати: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C40A4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sz w:val="28"/>
                <w:szCs w:val="28"/>
                <w:lang w:eastAsia="it-IT"/>
              </w:rPr>
              <w:t>Недопущення перевищення нормативів гранично допустимих викидів забруднюючих речовин в атмосферне повітря в м. Кременчуці.</w:t>
            </w:r>
          </w:p>
          <w:p w:rsidR="00624CC5" w:rsidRPr="00AF52A9" w:rsidRDefault="00624CC5" w:rsidP="00C40A4A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sz w:val="28"/>
                <w:szCs w:val="28"/>
                <w:lang w:eastAsia="it-IT"/>
              </w:rPr>
              <w:t>Оптимізація системи моніторингу стану атмосферного повітря.</w:t>
            </w:r>
          </w:p>
          <w:p w:rsidR="00624CC5" w:rsidRPr="00AF52A9" w:rsidRDefault="00624CC5" w:rsidP="00C40A4A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AF52A9">
              <w:rPr>
                <w:rFonts w:ascii="Times New Roman" w:hAnsi="Times New Roman"/>
                <w:sz w:val="28"/>
                <w:szCs w:val="28"/>
                <w:lang w:eastAsia="it-IT"/>
              </w:rPr>
              <w:t>Зменшення антропогенного навантаження та поліпшення стану атмосферного повітря міста, безпечного для здоров’я людини</w:t>
            </w:r>
            <w:r w:rsidRPr="00AF52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4CC5" w:rsidRPr="00AF52A9" w:rsidTr="00AF52A9">
        <w:trPr>
          <w:trHeight w:val="278"/>
        </w:trPr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44021B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Ключові заходи про</w:t>
            </w:r>
            <w:r w:rsidR="0044021B">
              <w:rPr>
                <w:bCs/>
                <w:sz w:val="28"/>
                <w:szCs w:val="28"/>
                <w:lang w:val="uk-UA"/>
              </w:rPr>
              <w:t>є</w:t>
            </w:r>
            <w:r w:rsidRPr="00AF52A9">
              <w:rPr>
                <w:bCs/>
                <w:sz w:val="28"/>
                <w:szCs w:val="28"/>
                <w:lang w:val="uk-UA"/>
              </w:rPr>
              <w:t>кту: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C40A4A">
            <w:pPr>
              <w:widowControl w:val="0"/>
              <w:shd w:val="clear" w:color="auto" w:fill="FFFFFF"/>
              <w:tabs>
                <w:tab w:val="left" w:pos="3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>1. Придбання технічного обладнання (прилади контролю та засоби вимірювальної техніки стаціонарного посту).</w:t>
            </w:r>
          </w:p>
          <w:p w:rsidR="00624CC5" w:rsidRPr="00AF52A9" w:rsidRDefault="00624CC5" w:rsidP="00C40A4A">
            <w:pPr>
              <w:widowControl w:val="0"/>
              <w:shd w:val="clear" w:color="auto" w:fill="FFFFFF"/>
              <w:tabs>
                <w:tab w:val="left" w:pos="330"/>
              </w:tabs>
              <w:rPr>
                <w:rFonts w:ascii="Times New Roman" w:hAnsi="Times New Roman"/>
                <w:sz w:val="28"/>
                <w:szCs w:val="28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>2. Проведення прес-конференції для громадськості міста з метою обізнаності про функціонування  системи моніторингу та контролю стану атмосферного повітря у м. Кременчуці.</w:t>
            </w:r>
          </w:p>
          <w:p w:rsidR="00624CC5" w:rsidRPr="00AF52A9" w:rsidRDefault="00624CC5" w:rsidP="00C40A4A">
            <w:pPr>
              <w:widowControl w:val="0"/>
              <w:shd w:val="clear" w:color="auto" w:fill="FFFFFF"/>
              <w:tabs>
                <w:tab w:val="left" w:pos="3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2A9">
              <w:rPr>
                <w:rFonts w:ascii="Times New Roman" w:hAnsi="Times New Roman"/>
                <w:sz w:val="28"/>
                <w:szCs w:val="28"/>
              </w:rPr>
              <w:t>3. Навчання спеціалістів, які працюватимуть з автоматизованою інформаційно-аналітичною системою.</w:t>
            </w:r>
          </w:p>
          <w:p w:rsidR="00624CC5" w:rsidRPr="00AF52A9" w:rsidRDefault="00624CC5" w:rsidP="00C40A4A">
            <w:pPr>
              <w:pStyle w:val="11"/>
              <w:tabs>
                <w:tab w:val="left" w:pos="301"/>
              </w:tabs>
              <w:spacing w:line="240" w:lineRule="auto"/>
              <w:ind w:left="0"/>
              <w:jc w:val="both"/>
            </w:pPr>
            <w:r w:rsidRPr="00AF52A9">
              <w:t>4. Проведення 2-х семінарів для екологів на тему «Екологічна гігієна».</w:t>
            </w:r>
          </w:p>
        </w:tc>
      </w:tr>
      <w:tr w:rsidR="00624CC5" w:rsidRPr="00AF52A9" w:rsidTr="00AF52A9">
        <w:trPr>
          <w:trHeight w:val="56"/>
        </w:trPr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C40A4A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Період здійснення: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C40A4A">
            <w:pPr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2021 рік</w:t>
            </w:r>
          </w:p>
        </w:tc>
      </w:tr>
      <w:tr w:rsidR="00624CC5" w:rsidRPr="00AF52A9" w:rsidTr="00AF52A9">
        <w:trPr>
          <w:trHeight w:val="654"/>
        </w:trPr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  <w:hideMark/>
          </w:tcPr>
          <w:p w:rsidR="00624CC5" w:rsidRPr="00AF52A9" w:rsidRDefault="00624CC5" w:rsidP="004232F2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Орієнтовна вартість про</w:t>
            </w:r>
            <w:r w:rsidR="004232F2">
              <w:rPr>
                <w:bCs/>
                <w:sz w:val="28"/>
                <w:szCs w:val="28"/>
                <w:lang w:val="uk-UA"/>
              </w:rPr>
              <w:t>є</w:t>
            </w:r>
            <w:bookmarkStart w:id="0" w:name="_GoBack"/>
            <w:bookmarkEnd w:id="0"/>
            <w:r w:rsidRPr="00AF52A9">
              <w:rPr>
                <w:bCs/>
                <w:sz w:val="28"/>
                <w:szCs w:val="28"/>
                <w:lang w:val="uk-UA"/>
              </w:rPr>
              <w:t>кту, грн.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right w:val="single" w:sz="4" w:space="0" w:color="7DA2A7"/>
            </w:tcBorders>
            <w:shd w:val="clear" w:color="auto" w:fill="auto"/>
          </w:tcPr>
          <w:p w:rsidR="00624CC5" w:rsidRPr="00AF52A9" w:rsidRDefault="00624CC5" w:rsidP="00C40A4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1 200</w:t>
            </w:r>
            <w:r w:rsidR="00AF52A9"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 </w:t>
            </w:r>
            <w:r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000</w:t>
            </w:r>
            <w:r w:rsidR="00AF52A9"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,00</w:t>
            </w:r>
          </w:p>
        </w:tc>
      </w:tr>
      <w:tr w:rsidR="00624CC5" w:rsidRPr="00AF52A9" w:rsidTr="00AF52A9"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C40A4A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Джерела фінансування: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vAlign w:val="center"/>
          </w:tcPr>
          <w:p w:rsidR="00624CC5" w:rsidRPr="00AF52A9" w:rsidRDefault="00624CC5" w:rsidP="0044021B">
            <w:pPr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Обласний бюджет, місцевий бюджет, партнери про</w:t>
            </w:r>
            <w:r w:rsidR="0044021B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є</w:t>
            </w:r>
            <w:r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кту</w:t>
            </w:r>
          </w:p>
        </w:tc>
      </w:tr>
      <w:tr w:rsidR="00624CC5" w:rsidRPr="00AF52A9" w:rsidTr="00AF52A9">
        <w:tc>
          <w:tcPr>
            <w:tcW w:w="2689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  <w:hideMark/>
          </w:tcPr>
          <w:p w:rsidR="00624CC5" w:rsidRPr="00AF52A9" w:rsidRDefault="00624CC5" w:rsidP="0044021B">
            <w:pPr>
              <w:pStyle w:val="1"/>
              <w:rPr>
                <w:bCs/>
                <w:sz w:val="28"/>
                <w:szCs w:val="28"/>
                <w:lang w:val="uk-UA"/>
              </w:rPr>
            </w:pPr>
            <w:r w:rsidRPr="00AF52A9">
              <w:rPr>
                <w:bCs/>
                <w:sz w:val="28"/>
                <w:szCs w:val="28"/>
                <w:lang w:val="uk-UA"/>
              </w:rPr>
              <w:t>Ключові учасники реалізації про</w:t>
            </w:r>
            <w:r w:rsidR="0044021B">
              <w:rPr>
                <w:bCs/>
                <w:sz w:val="28"/>
                <w:szCs w:val="28"/>
                <w:lang w:val="uk-UA"/>
              </w:rPr>
              <w:t>є</w:t>
            </w:r>
            <w:r w:rsidRPr="00AF52A9">
              <w:rPr>
                <w:bCs/>
                <w:sz w:val="28"/>
                <w:szCs w:val="28"/>
                <w:lang w:val="uk-UA"/>
              </w:rPr>
              <w:t>кту:</w:t>
            </w:r>
          </w:p>
        </w:tc>
        <w:tc>
          <w:tcPr>
            <w:tcW w:w="7162" w:type="dxa"/>
            <w:tcBorders>
              <w:top w:val="single" w:sz="4" w:space="0" w:color="7DA2A7"/>
              <w:left w:val="single" w:sz="4" w:space="0" w:color="7DA2A7"/>
              <w:bottom w:val="single" w:sz="4" w:space="0" w:color="7DA2A7"/>
              <w:right w:val="single" w:sz="4" w:space="0" w:color="7DA2A7"/>
            </w:tcBorders>
            <w:shd w:val="clear" w:color="auto" w:fill="auto"/>
          </w:tcPr>
          <w:p w:rsidR="00624CC5" w:rsidRPr="00AF52A9" w:rsidRDefault="00624CC5" w:rsidP="00C40A4A">
            <w:pPr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</w:pPr>
            <w:r w:rsidRPr="00AF52A9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КП «Науковий центр еколого-соціальних досліджень</w:t>
            </w:r>
            <w:r w:rsidR="004232F2">
              <w:rPr>
                <w:rFonts w:ascii="Times New Roman" w:hAnsi="Times New Roman"/>
                <w:color w:val="000000"/>
                <w:sz w:val="28"/>
                <w:szCs w:val="28"/>
                <w:lang w:eastAsia="it-IT"/>
              </w:rPr>
              <w:t>»</w:t>
            </w:r>
          </w:p>
        </w:tc>
      </w:tr>
    </w:tbl>
    <w:p w:rsidR="00624CC5" w:rsidRPr="00624CC5" w:rsidRDefault="00624CC5" w:rsidP="00A838DC">
      <w:pPr>
        <w:rPr>
          <w:rFonts w:ascii="Times New Roman" w:hAnsi="Times New Roman"/>
        </w:rPr>
      </w:pPr>
    </w:p>
    <w:sectPr w:rsidR="00624CC5" w:rsidRPr="00624CC5" w:rsidSect="00624CC5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60"/>
    <w:rsid w:val="0000539A"/>
    <w:rsid w:val="00127F59"/>
    <w:rsid w:val="001811AD"/>
    <w:rsid w:val="001C4260"/>
    <w:rsid w:val="00223B2F"/>
    <w:rsid w:val="0025736C"/>
    <w:rsid w:val="002F0DAC"/>
    <w:rsid w:val="003402BE"/>
    <w:rsid w:val="003A5E81"/>
    <w:rsid w:val="003E28D2"/>
    <w:rsid w:val="003E3C16"/>
    <w:rsid w:val="004232F2"/>
    <w:rsid w:val="0044021B"/>
    <w:rsid w:val="00624CC5"/>
    <w:rsid w:val="00652D40"/>
    <w:rsid w:val="00692015"/>
    <w:rsid w:val="0069609D"/>
    <w:rsid w:val="006C2B2A"/>
    <w:rsid w:val="0072374C"/>
    <w:rsid w:val="007404C9"/>
    <w:rsid w:val="007B5525"/>
    <w:rsid w:val="00803F05"/>
    <w:rsid w:val="00847A47"/>
    <w:rsid w:val="00875369"/>
    <w:rsid w:val="00920CEB"/>
    <w:rsid w:val="009F3C97"/>
    <w:rsid w:val="00A20420"/>
    <w:rsid w:val="00A838DC"/>
    <w:rsid w:val="00AF52A9"/>
    <w:rsid w:val="00B403F1"/>
    <w:rsid w:val="00CF0E26"/>
    <w:rsid w:val="00D46AD4"/>
    <w:rsid w:val="00DC3878"/>
    <w:rsid w:val="00DE2F69"/>
    <w:rsid w:val="00E55CD8"/>
    <w:rsid w:val="00E84EB2"/>
    <w:rsid w:val="00E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C"/>
    <w:pPr>
      <w:spacing w:after="0" w:line="240" w:lineRule="auto"/>
    </w:pPr>
    <w:rPr>
      <w:rFonts w:ascii="Arial" w:eastAsia="Times New Roman" w:hAnsi="Arial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gureUkr">
    <w:name w:val="Figure Ukr"/>
    <w:basedOn w:val="a"/>
    <w:next w:val="a"/>
    <w:uiPriority w:val="99"/>
    <w:qFormat/>
    <w:rsid w:val="00A838DC"/>
    <w:pPr>
      <w:keepLines/>
      <w:tabs>
        <w:tab w:val="left" w:pos="450"/>
      </w:tabs>
      <w:spacing w:before="120"/>
      <w:jc w:val="center"/>
    </w:pPr>
    <w:rPr>
      <w:b/>
      <w:bCs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A838D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у11"/>
    <w:basedOn w:val="a"/>
    <w:uiPriority w:val="34"/>
    <w:qFormat/>
    <w:rsid w:val="00A838DC"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A5E81"/>
    <w:pPr>
      <w:ind w:left="720"/>
      <w:contextualSpacing/>
    </w:pPr>
    <w:rPr>
      <w:rFonts w:eastAsia="Calibri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C38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87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C"/>
    <w:pPr>
      <w:spacing w:after="0" w:line="240" w:lineRule="auto"/>
    </w:pPr>
    <w:rPr>
      <w:rFonts w:ascii="Arial" w:eastAsia="Times New Roman" w:hAnsi="Arial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gureUkr">
    <w:name w:val="Figure Ukr"/>
    <w:basedOn w:val="a"/>
    <w:next w:val="a"/>
    <w:uiPriority w:val="99"/>
    <w:qFormat/>
    <w:rsid w:val="00A838DC"/>
    <w:pPr>
      <w:keepLines/>
      <w:tabs>
        <w:tab w:val="left" w:pos="450"/>
      </w:tabs>
      <w:spacing w:before="120"/>
      <w:jc w:val="center"/>
    </w:pPr>
    <w:rPr>
      <w:b/>
      <w:bCs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A838D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у11"/>
    <w:basedOn w:val="a"/>
    <w:uiPriority w:val="34"/>
    <w:qFormat/>
    <w:rsid w:val="00A838DC"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A5E81"/>
    <w:pPr>
      <w:ind w:left="720"/>
      <w:contextualSpacing/>
    </w:pPr>
    <w:rPr>
      <w:rFonts w:eastAsia="Calibri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C38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87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2020-08-28T07:20:00Z</cp:lastPrinted>
  <dcterms:created xsi:type="dcterms:W3CDTF">2020-08-21T09:47:00Z</dcterms:created>
  <dcterms:modified xsi:type="dcterms:W3CDTF">2020-09-04T11:34:00Z</dcterms:modified>
</cp:coreProperties>
</file>