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184C" w:rsidRDefault="00DE184C" w:rsidP="00DE184C">
      <w:pPr>
        <w:ind w:firstLine="6096"/>
        <w:rPr>
          <w:b/>
          <w:sz w:val="28"/>
          <w:szCs w:val="28"/>
          <w:lang w:eastAsia="ru-RU"/>
        </w:rPr>
      </w:pPr>
      <w:r>
        <w:rPr>
          <w:b/>
          <w:sz w:val="28"/>
          <w:szCs w:val="28"/>
          <w:lang w:eastAsia="ru-RU"/>
        </w:rPr>
        <w:t>Додаток 1</w:t>
      </w:r>
    </w:p>
    <w:p w:rsidR="00DE184C" w:rsidRDefault="00DE184C" w:rsidP="00DE184C">
      <w:pPr>
        <w:ind w:firstLine="6096"/>
        <w:rPr>
          <w:b/>
          <w:sz w:val="28"/>
          <w:szCs w:val="28"/>
          <w:lang w:eastAsia="ru-RU"/>
        </w:rPr>
      </w:pPr>
      <w:r>
        <w:rPr>
          <w:b/>
          <w:sz w:val="28"/>
          <w:szCs w:val="28"/>
          <w:lang w:eastAsia="ru-RU"/>
        </w:rPr>
        <w:t>до рішення міської ради</w:t>
      </w:r>
    </w:p>
    <w:p w:rsidR="00DE184C" w:rsidRDefault="00DE184C" w:rsidP="00DE184C">
      <w:pPr>
        <w:ind w:firstLine="6096"/>
        <w:rPr>
          <w:b/>
          <w:sz w:val="28"/>
          <w:szCs w:val="28"/>
          <w:lang w:eastAsia="ru-RU"/>
        </w:rPr>
      </w:pPr>
      <w:r>
        <w:rPr>
          <w:b/>
          <w:sz w:val="28"/>
          <w:szCs w:val="28"/>
          <w:lang w:eastAsia="ru-RU"/>
        </w:rPr>
        <w:t xml:space="preserve">від </w:t>
      </w:r>
      <w:r w:rsidR="002A6BA8">
        <w:rPr>
          <w:b/>
          <w:sz w:val="28"/>
          <w:szCs w:val="28"/>
          <w:lang w:eastAsia="ru-RU"/>
        </w:rPr>
        <w:t>23.04</w:t>
      </w:r>
      <w:r>
        <w:rPr>
          <w:b/>
          <w:sz w:val="28"/>
          <w:szCs w:val="28"/>
          <w:lang w:eastAsia="ru-RU"/>
        </w:rPr>
        <w:t>.2020</w:t>
      </w:r>
    </w:p>
    <w:p w:rsidR="00DE184C" w:rsidRDefault="00DE184C" w:rsidP="00DE184C">
      <w:pPr>
        <w:jc w:val="center"/>
        <w:rPr>
          <w:b/>
          <w:sz w:val="28"/>
          <w:szCs w:val="28"/>
          <w:lang w:eastAsia="ru-RU"/>
        </w:rPr>
      </w:pPr>
    </w:p>
    <w:p w:rsidR="00DE184C" w:rsidRDefault="00DE184C" w:rsidP="00DE184C">
      <w:pPr>
        <w:jc w:val="center"/>
        <w:rPr>
          <w:b/>
          <w:sz w:val="28"/>
          <w:szCs w:val="28"/>
          <w:lang w:eastAsia="ru-RU"/>
        </w:rPr>
      </w:pPr>
      <w:r>
        <w:rPr>
          <w:b/>
          <w:sz w:val="28"/>
          <w:szCs w:val="28"/>
          <w:lang w:eastAsia="ru-RU"/>
        </w:rPr>
        <w:t>ПОЯСНЮВАЛЬНА ЗАПИСКА</w:t>
      </w:r>
    </w:p>
    <w:p w:rsidR="00DE184C" w:rsidRDefault="00DE184C" w:rsidP="00DE184C">
      <w:pPr>
        <w:jc w:val="center"/>
        <w:rPr>
          <w:b/>
          <w:sz w:val="28"/>
          <w:szCs w:val="28"/>
          <w:lang w:eastAsia="ru-RU"/>
        </w:rPr>
      </w:pPr>
      <w:r>
        <w:rPr>
          <w:b/>
          <w:sz w:val="28"/>
          <w:szCs w:val="28"/>
          <w:lang w:eastAsia="ru-RU"/>
        </w:rPr>
        <w:t xml:space="preserve">до річного звіту про виконання місцевого бюджету </w:t>
      </w:r>
    </w:p>
    <w:p w:rsidR="00DE184C" w:rsidRDefault="00DE184C" w:rsidP="00DE184C">
      <w:pPr>
        <w:jc w:val="center"/>
        <w:rPr>
          <w:b/>
          <w:sz w:val="28"/>
          <w:szCs w:val="28"/>
          <w:lang w:eastAsia="ru-RU"/>
        </w:rPr>
      </w:pPr>
      <w:r>
        <w:rPr>
          <w:b/>
          <w:sz w:val="28"/>
          <w:szCs w:val="28"/>
          <w:lang w:eastAsia="ru-RU"/>
        </w:rPr>
        <w:t>міста Кременчука за 2019 рік</w:t>
      </w:r>
    </w:p>
    <w:p w:rsidR="00DE184C" w:rsidRDefault="00DE184C" w:rsidP="00DE184C">
      <w:pPr>
        <w:jc w:val="center"/>
        <w:rPr>
          <w:sz w:val="28"/>
          <w:szCs w:val="28"/>
          <w:lang w:eastAsia="ru-RU"/>
        </w:rPr>
      </w:pPr>
    </w:p>
    <w:p w:rsidR="00DE184C" w:rsidRDefault="00DE184C" w:rsidP="00DE184C">
      <w:pPr>
        <w:jc w:val="center"/>
        <w:rPr>
          <w:b/>
          <w:sz w:val="28"/>
          <w:szCs w:val="28"/>
          <w:lang w:val="ru-RU" w:eastAsia="ru-RU"/>
        </w:rPr>
      </w:pPr>
      <w:r>
        <w:rPr>
          <w:b/>
          <w:sz w:val="28"/>
          <w:szCs w:val="28"/>
          <w:lang w:eastAsia="ru-RU"/>
        </w:rPr>
        <w:t xml:space="preserve">ЕКОНОМІЧНИЙ І СОЦІАЛЬНИЙ РОЗВИТОК МІСТА У 2019 РОЦІ </w:t>
      </w:r>
    </w:p>
    <w:p w:rsidR="00DE184C" w:rsidRDefault="00DE184C" w:rsidP="00DE184C">
      <w:pPr>
        <w:jc w:val="center"/>
        <w:rPr>
          <w:sz w:val="28"/>
          <w:szCs w:val="28"/>
          <w:lang w:val="ru-RU" w:eastAsia="ru-RU"/>
        </w:rPr>
      </w:pPr>
    </w:p>
    <w:p w:rsidR="00DE184C" w:rsidRDefault="00DE184C" w:rsidP="00DE184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Діяльність органів виконавчої влади в 2019 році була спрямована на запровадження принципів прозорості та відкритості в управлінні містом, посилення позитивних тенденцій в усіх сферах міської економіки, здійснення модернізації інфраструктури, ремонт доріг, проведення комплексу заходів підтримки незахищених верств населення.</w:t>
      </w:r>
    </w:p>
    <w:p w:rsidR="00DE184C" w:rsidRDefault="00DE184C" w:rsidP="00DE184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eastAsia="ar-SA"/>
        </w:rPr>
      </w:pPr>
      <w:r>
        <w:rPr>
          <w:sz w:val="28"/>
          <w:szCs w:val="28"/>
          <w:lang w:eastAsia="ar-SA"/>
        </w:rPr>
        <w:t>Місто Кременчук – одне з найпотужніших індустріальних центрів України з розвиненою економічною та соціальною інфраструктурою. Структура промисловості охоплює майже всі базові галузі, а саме: нафтопереробна й нафтохімічна, машинобудування й обробка металу, харчова, легка й будівельна галузь.</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Відповідно до інформації, наданої управлінням економіки виконавчого комітету Кременчуцької міської ради, </w:t>
      </w:r>
      <w:r>
        <w:rPr>
          <w:b/>
          <w:sz w:val="28"/>
          <w:szCs w:val="28"/>
          <w:lang w:eastAsia="ar-SA"/>
        </w:rPr>
        <w:t>роздрібний товарооборот</w:t>
      </w:r>
      <w:r>
        <w:rPr>
          <w:sz w:val="28"/>
          <w:szCs w:val="28"/>
          <w:lang w:eastAsia="ar-SA"/>
        </w:rPr>
        <w:t xml:space="preserve"> підприємств міста, основним видом економічної діяльності яких є роздрібна торгівля (без урахування роздрібного товарообороту фізичних осіб-підприємців) за січень-вересень 2019 року склав 3 289,8 млн грн, що становить 107,4 % до відповідного періоду 2018 року.</w:t>
      </w:r>
    </w:p>
    <w:p w:rsidR="00DE184C" w:rsidRDefault="00DE184C" w:rsidP="00DE184C">
      <w:pPr>
        <w:tabs>
          <w:tab w:val="left" w:pos="916"/>
        </w:tabs>
        <w:ind w:firstLine="709"/>
        <w:jc w:val="both"/>
        <w:rPr>
          <w:sz w:val="28"/>
          <w:szCs w:val="28"/>
        </w:rPr>
      </w:pPr>
      <w:r>
        <w:rPr>
          <w:sz w:val="28"/>
          <w:szCs w:val="28"/>
        </w:rPr>
        <w:t xml:space="preserve">За статистичними даними за січень-жовтень 2019 року підприємствами міста Кременчука було </w:t>
      </w:r>
      <w:r>
        <w:rPr>
          <w:b/>
          <w:sz w:val="28"/>
          <w:szCs w:val="28"/>
        </w:rPr>
        <w:t>реалізовано промислової продукції</w:t>
      </w:r>
      <w:r>
        <w:rPr>
          <w:sz w:val="28"/>
          <w:szCs w:val="28"/>
        </w:rPr>
        <w:t xml:space="preserve"> на суму                   38 742,1 млн грн, що до відповідного періоду минулого року складає 86,0 %, зменшення – 14,0 % (45 002,4 млн грн).</w:t>
      </w:r>
    </w:p>
    <w:p w:rsidR="00DE184C" w:rsidRDefault="00DE184C" w:rsidP="00642A70">
      <w:pPr>
        <w:tabs>
          <w:tab w:val="left" w:pos="916"/>
        </w:tabs>
        <w:ind w:firstLine="709"/>
        <w:jc w:val="both"/>
        <w:rPr>
          <w:sz w:val="28"/>
          <w:szCs w:val="28"/>
          <w:lang w:eastAsia="ru-RU"/>
        </w:rPr>
      </w:pPr>
      <w:r>
        <w:rPr>
          <w:spacing w:val="1"/>
          <w:sz w:val="28"/>
          <w:szCs w:val="28"/>
          <w:lang w:eastAsia="ru-RU"/>
        </w:rPr>
        <w:t>В 2019 році порівняно з 2018 роком с</w:t>
      </w:r>
      <w:r>
        <w:rPr>
          <w:sz w:val="28"/>
          <w:szCs w:val="28"/>
          <w:lang w:eastAsia="ru-RU"/>
        </w:rPr>
        <w:t xml:space="preserve">постерігалося зростання обсягів виробництва по наступних бюджетоутворюючих підприємствах міста: </w:t>
      </w:r>
      <w:r w:rsidR="00642A70">
        <w:rPr>
          <w:sz w:val="28"/>
          <w:szCs w:val="28"/>
          <w:lang w:eastAsia="ru-RU"/>
        </w:rPr>
        <w:t xml:space="preserve">               </w:t>
      </w:r>
      <w:r>
        <w:rPr>
          <w:b/>
          <w:sz w:val="28"/>
          <w:szCs w:val="28"/>
          <w:lang w:eastAsia="ru-RU"/>
        </w:rPr>
        <w:t>ПАТ «</w:t>
      </w:r>
      <w:proofErr w:type="spellStart"/>
      <w:r>
        <w:rPr>
          <w:b/>
          <w:sz w:val="28"/>
          <w:szCs w:val="28"/>
          <w:lang w:eastAsia="ru-RU"/>
        </w:rPr>
        <w:t>Крюківський</w:t>
      </w:r>
      <w:proofErr w:type="spellEnd"/>
      <w:r>
        <w:rPr>
          <w:b/>
          <w:sz w:val="28"/>
          <w:szCs w:val="28"/>
          <w:lang w:eastAsia="ru-RU"/>
        </w:rPr>
        <w:t xml:space="preserve"> вагонобудівний завод»</w:t>
      </w:r>
      <w:r>
        <w:rPr>
          <w:sz w:val="28"/>
          <w:szCs w:val="28"/>
          <w:lang w:eastAsia="ru-RU"/>
        </w:rPr>
        <w:t xml:space="preserve">; </w:t>
      </w:r>
      <w:r>
        <w:rPr>
          <w:b/>
          <w:sz w:val="28"/>
          <w:szCs w:val="28"/>
          <w:lang w:eastAsia="ru-RU"/>
        </w:rPr>
        <w:t>ВП «</w:t>
      </w:r>
      <w:proofErr w:type="spellStart"/>
      <w:r>
        <w:rPr>
          <w:b/>
          <w:sz w:val="28"/>
          <w:szCs w:val="28"/>
          <w:lang w:eastAsia="ru-RU"/>
        </w:rPr>
        <w:t>Крюківський</w:t>
      </w:r>
      <w:proofErr w:type="spellEnd"/>
      <w:r>
        <w:rPr>
          <w:b/>
          <w:sz w:val="28"/>
          <w:szCs w:val="28"/>
          <w:lang w:eastAsia="ru-RU"/>
        </w:rPr>
        <w:t xml:space="preserve"> кар’єр» «ЦУП» </w:t>
      </w:r>
      <w:proofErr w:type="spellStart"/>
      <w:r>
        <w:rPr>
          <w:b/>
          <w:sz w:val="28"/>
          <w:szCs w:val="28"/>
          <w:lang w:eastAsia="ru-RU"/>
        </w:rPr>
        <w:t>АТ«Укрзалізниця</w:t>
      </w:r>
      <w:proofErr w:type="spellEnd"/>
      <w:r>
        <w:rPr>
          <w:b/>
          <w:sz w:val="28"/>
          <w:szCs w:val="28"/>
          <w:lang w:eastAsia="ru-RU"/>
        </w:rPr>
        <w:t>»</w:t>
      </w:r>
      <w:r>
        <w:rPr>
          <w:sz w:val="28"/>
          <w:szCs w:val="28"/>
          <w:lang w:eastAsia="ru-RU"/>
        </w:rPr>
        <w:t xml:space="preserve">; </w:t>
      </w:r>
      <w:r>
        <w:rPr>
          <w:b/>
          <w:sz w:val="28"/>
          <w:szCs w:val="28"/>
          <w:lang w:eastAsia="ru-RU"/>
        </w:rPr>
        <w:t>ПрАТ «Кременчуцька кондитерська фабрика «РОШЕН»</w:t>
      </w:r>
      <w:r>
        <w:rPr>
          <w:sz w:val="28"/>
          <w:szCs w:val="28"/>
          <w:lang w:eastAsia="ru-RU"/>
        </w:rPr>
        <w:t xml:space="preserve">; </w:t>
      </w:r>
      <w:r>
        <w:rPr>
          <w:b/>
          <w:sz w:val="28"/>
          <w:szCs w:val="28"/>
          <w:lang w:eastAsia="ru-RU"/>
        </w:rPr>
        <w:t xml:space="preserve">ПрАТ «Кременчуцький </w:t>
      </w:r>
      <w:proofErr w:type="spellStart"/>
      <w:r>
        <w:rPr>
          <w:b/>
          <w:sz w:val="28"/>
          <w:szCs w:val="28"/>
          <w:lang w:eastAsia="ru-RU"/>
        </w:rPr>
        <w:t>міськмолокозавод</w:t>
      </w:r>
      <w:proofErr w:type="spellEnd"/>
      <w:r>
        <w:rPr>
          <w:b/>
          <w:sz w:val="28"/>
          <w:szCs w:val="28"/>
          <w:lang w:eastAsia="ru-RU"/>
        </w:rPr>
        <w:t>»</w:t>
      </w:r>
      <w:r>
        <w:rPr>
          <w:sz w:val="28"/>
          <w:szCs w:val="28"/>
          <w:lang w:eastAsia="ru-RU"/>
        </w:rPr>
        <w:t xml:space="preserve">; </w:t>
      </w:r>
      <w:r w:rsidR="00642A70">
        <w:rPr>
          <w:sz w:val="28"/>
          <w:szCs w:val="28"/>
          <w:lang w:eastAsia="ru-RU"/>
        </w:rPr>
        <w:t xml:space="preserve">                                 </w:t>
      </w:r>
      <w:r>
        <w:rPr>
          <w:b/>
          <w:sz w:val="28"/>
          <w:szCs w:val="28"/>
          <w:lang w:eastAsia="ru-RU"/>
        </w:rPr>
        <w:t>ПАТ «Кременчуцьке кар’єроуправління «Кварц»</w:t>
      </w:r>
      <w:r>
        <w:rPr>
          <w:sz w:val="28"/>
          <w:szCs w:val="28"/>
          <w:lang w:eastAsia="ru-RU"/>
        </w:rPr>
        <w:t>.</w:t>
      </w:r>
    </w:p>
    <w:p w:rsidR="00DE184C" w:rsidRDefault="00DE184C"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t xml:space="preserve">В той же час зниження обсягів виробництва відбулось на: </w:t>
      </w:r>
      <w:r w:rsidR="00642A70">
        <w:rPr>
          <w:sz w:val="28"/>
          <w:szCs w:val="28"/>
          <w:lang w:eastAsia="ru-RU"/>
        </w:rPr>
        <w:t xml:space="preserve">                          </w:t>
      </w:r>
      <w:r>
        <w:rPr>
          <w:b/>
          <w:sz w:val="28"/>
          <w:szCs w:val="28"/>
          <w:lang w:eastAsia="ru-RU"/>
        </w:rPr>
        <w:t>ПрАТ «Кременчуцький колісний завод»</w:t>
      </w:r>
      <w:r>
        <w:rPr>
          <w:sz w:val="28"/>
          <w:szCs w:val="28"/>
          <w:lang w:eastAsia="ru-RU"/>
        </w:rPr>
        <w:t xml:space="preserve">; </w:t>
      </w:r>
      <w:r>
        <w:rPr>
          <w:b/>
          <w:sz w:val="28"/>
          <w:szCs w:val="28"/>
          <w:lang w:eastAsia="ru-RU"/>
        </w:rPr>
        <w:t>ПрАТ КВТФ «КРЕМТЕКС»</w:t>
      </w:r>
      <w:r>
        <w:rPr>
          <w:sz w:val="28"/>
          <w:szCs w:val="28"/>
          <w:lang w:eastAsia="ru-RU"/>
        </w:rPr>
        <w:t xml:space="preserve">; </w:t>
      </w:r>
      <w:r>
        <w:rPr>
          <w:b/>
          <w:sz w:val="28"/>
          <w:szCs w:val="28"/>
          <w:lang w:eastAsia="ru-RU"/>
        </w:rPr>
        <w:t>ПАТ «</w:t>
      </w:r>
      <w:proofErr w:type="spellStart"/>
      <w:r>
        <w:rPr>
          <w:b/>
          <w:sz w:val="28"/>
          <w:szCs w:val="28"/>
          <w:lang w:eastAsia="ru-RU"/>
        </w:rPr>
        <w:t>Стальзавод</w:t>
      </w:r>
      <w:proofErr w:type="spellEnd"/>
      <w:r>
        <w:rPr>
          <w:b/>
          <w:sz w:val="28"/>
          <w:szCs w:val="28"/>
          <w:lang w:eastAsia="ru-RU"/>
        </w:rPr>
        <w:t>»</w:t>
      </w:r>
      <w:r>
        <w:rPr>
          <w:sz w:val="28"/>
          <w:szCs w:val="28"/>
          <w:lang w:eastAsia="ru-RU"/>
        </w:rPr>
        <w:t xml:space="preserve">; </w:t>
      </w:r>
      <w:r>
        <w:rPr>
          <w:b/>
          <w:sz w:val="28"/>
          <w:szCs w:val="28"/>
          <w:lang w:eastAsia="ru-RU"/>
        </w:rPr>
        <w:t>ТОВ «Кременчуцький хлібокомбінат»</w:t>
      </w:r>
      <w:r>
        <w:rPr>
          <w:sz w:val="28"/>
          <w:szCs w:val="28"/>
          <w:lang w:eastAsia="ru-RU"/>
        </w:rPr>
        <w:t xml:space="preserve">; </w:t>
      </w:r>
      <w:r w:rsidR="00642A70">
        <w:rPr>
          <w:sz w:val="28"/>
          <w:szCs w:val="28"/>
          <w:lang w:eastAsia="ru-RU"/>
        </w:rPr>
        <w:t xml:space="preserve">                           </w:t>
      </w:r>
      <w:r>
        <w:rPr>
          <w:b/>
          <w:sz w:val="28"/>
          <w:szCs w:val="28"/>
          <w:lang w:eastAsia="ru-RU"/>
        </w:rPr>
        <w:t>ПрАТ «</w:t>
      </w:r>
      <w:proofErr w:type="spellStart"/>
      <w:r>
        <w:rPr>
          <w:b/>
          <w:sz w:val="28"/>
          <w:szCs w:val="28"/>
          <w:lang w:eastAsia="ru-RU"/>
        </w:rPr>
        <w:t>Кредмаш</w:t>
      </w:r>
      <w:proofErr w:type="spellEnd"/>
      <w:r>
        <w:rPr>
          <w:b/>
          <w:sz w:val="28"/>
          <w:szCs w:val="28"/>
          <w:lang w:eastAsia="ru-RU"/>
        </w:rPr>
        <w:t>»</w:t>
      </w:r>
      <w:r>
        <w:rPr>
          <w:sz w:val="28"/>
          <w:szCs w:val="28"/>
          <w:lang w:eastAsia="ru-RU"/>
        </w:rPr>
        <w:t xml:space="preserve">; </w:t>
      </w:r>
      <w:r>
        <w:rPr>
          <w:b/>
          <w:sz w:val="28"/>
          <w:szCs w:val="28"/>
          <w:lang w:eastAsia="ru-RU"/>
        </w:rPr>
        <w:t>ТОВ «</w:t>
      </w:r>
      <w:proofErr w:type="spellStart"/>
      <w:r>
        <w:rPr>
          <w:b/>
          <w:sz w:val="28"/>
          <w:szCs w:val="28"/>
          <w:lang w:eastAsia="ru-RU"/>
        </w:rPr>
        <w:t>Малокохнівський</w:t>
      </w:r>
      <w:proofErr w:type="spellEnd"/>
      <w:r>
        <w:rPr>
          <w:b/>
          <w:sz w:val="28"/>
          <w:szCs w:val="28"/>
          <w:lang w:eastAsia="ru-RU"/>
        </w:rPr>
        <w:t xml:space="preserve"> кар’єр»</w:t>
      </w:r>
      <w:r>
        <w:rPr>
          <w:sz w:val="28"/>
          <w:szCs w:val="28"/>
          <w:lang w:eastAsia="ru-RU"/>
        </w:rPr>
        <w:t xml:space="preserve">; </w:t>
      </w:r>
      <w:r>
        <w:rPr>
          <w:b/>
          <w:sz w:val="28"/>
          <w:szCs w:val="28"/>
          <w:lang w:eastAsia="ru-RU"/>
        </w:rPr>
        <w:t>ПрАТ «Кременчуцький завод технічного вуглецю»</w:t>
      </w:r>
      <w:r>
        <w:rPr>
          <w:sz w:val="28"/>
          <w:szCs w:val="28"/>
          <w:lang w:eastAsia="ru-RU"/>
        </w:rPr>
        <w:t>.</w:t>
      </w:r>
    </w:p>
    <w:p w:rsidR="00DE184C" w:rsidRDefault="00DE184C" w:rsidP="00DE184C">
      <w:pPr>
        <w:tabs>
          <w:tab w:val="left" w:pos="916"/>
        </w:tabs>
        <w:ind w:firstLine="709"/>
        <w:jc w:val="both"/>
        <w:rPr>
          <w:sz w:val="28"/>
          <w:szCs w:val="28"/>
          <w:lang w:eastAsia="ar-SA"/>
        </w:rPr>
      </w:pPr>
      <w:r>
        <w:rPr>
          <w:sz w:val="28"/>
          <w:szCs w:val="28"/>
          <w:lang w:eastAsia="ar-SA"/>
        </w:rPr>
        <w:t>Питання створення сприятливого інвестиційного клімату в місті залишається одним з найактуальніших.</w:t>
      </w:r>
    </w:p>
    <w:p w:rsidR="00DE184C" w:rsidRDefault="00DE184C" w:rsidP="00DE184C">
      <w:pPr>
        <w:tabs>
          <w:tab w:val="left" w:pos="916"/>
        </w:tabs>
        <w:ind w:firstLine="709"/>
        <w:jc w:val="both"/>
        <w:rPr>
          <w:sz w:val="28"/>
          <w:szCs w:val="28"/>
          <w:lang w:eastAsia="ar-SA"/>
        </w:rPr>
      </w:pPr>
      <w:r>
        <w:rPr>
          <w:sz w:val="28"/>
          <w:szCs w:val="28"/>
        </w:rPr>
        <w:t xml:space="preserve">Тим більше, що станом на 01.07.2019 загальний обсяг прямих іноземних інвестицій (акціонерного капіталу) в економіку міста склав </w:t>
      </w:r>
      <w:r>
        <w:rPr>
          <w:color w:val="000000"/>
          <w:sz w:val="28"/>
          <w:szCs w:val="28"/>
        </w:rPr>
        <w:t>31,5</w:t>
      </w:r>
      <w:r>
        <w:rPr>
          <w:color w:val="000000"/>
        </w:rPr>
        <w:t xml:space="preserve"> </w:t>
      </w:r>
      <w:r>
        <w:rPr>
          <w:sz w:val="28"/>
          <w:szCs w:val="28"/>
        </w:rPr>
        <w:t xml:space="preserve">млн </w:t>
      </w:r>
      <w:proofErr w:type="spellStart"/>
      <w:r>
        <w:rPr>
          <w:sz w:val="28"/>
          <w:szCs w:val="28"/>
        </w:rPr>
        <w:t>дол</w:t>
      </w:r>
      <w:proofErr w:type="spellEnd"/>
      <w:r>
        <w:rPr>
          <w:sz w:val="28"/>
          <w:szCs w:val="28"/>
        </w:rPr>
        <w:t xml:space="preserve">. </w:t>
      </w:r>
      <w:r>
        <w:rPr>
          <w:sz w:val="28"/>
          <w:szCs w:val="28"/>
        </w:rPr>
        <w:lastRenderedPageBreak/>
        <w:t xml:space="preserve">США. Збільшення іноземного капіталу за І півріччя 2019 року відбулося на </w:t>
      </w:r>
      <w:r>
        <w:rPr>
          <w:color w:val="000000"/>
          <w:sz w:val="28"/>
          <w:szCs w:val="28"/>
        </w:rPr>
        <w:t>102,3%</w:t>
      </w:r>
      <w:r>
        <w:rPr>
          <w:color w:val="000000"/>
        </w:rPr>
        <w:t xml:space="preserve"> </w:t>
      </w:r>
      <w:r>
        <w:rPr>
          <w:sz w:val="28"/>
          <w:szCs w:val="28"/>
        </w:rPr>
        <w:t>до накопиченого обсягу на початок року.</w:t>
      </w:r>
    </w:p>
    <w:p w:rsidR="00DE184C" w:rsidRDefault="00DE184C" w:rsidP="00DE184C">
      <w:pPr>
        <w:tabs>
          <w:tab w:val="left" w:pos="916"/>
        </w:tabs>
        <w:suppressAutoHyphens/>
        <w:ind w:firstLine="709"/>
        <w:jc w:val="both"/>
        <w:rPr>
          <w:sz w:val="28"/>
          <w:szCs w:val="28"/>
        </w:rPr>
      </w:pPr>
      <w:r>
        <w:rPr>
          <w:sz w:val="28"/>
          <w:szCs w:val="28"/>
        </w:rPr>
        <w:t xml:space="preserve">Одним із пріоритетних напрямів діяльності міської влади є розвиток підприємницької діяльності та формування ефективної інфраструктури підтримки малого підприємництва. </w:t>
      </w:r>
    </w:p>
    <w:p w:rsidR="00DE184C" w:rsidRDefault="00DE184C" w:rsidP="00DE184C">
      <w:pPr>
        <w:tabs>
          <w:tab w:val="left" w:pos="916"/>
        </w:tabs>
        <w:suppressAutoHyphens/>
        <w:ind w:firstLine="709"/>
        <w:jc w:val="both"/>
        <w:rPr>
          <w:sz w:val="28"/>
          <w:szCs w:val="28"/>
          <w:lang w:eastAsia="ar-SA"/>
        </w:rPr>
      </w:pPr>
      <w:r>
        <w:rPr>
          <w:sz w:val="28"/>
          <w:szCs w:val="28"/>
        </w:rPr>
        <w:t>Малий та середній бізнес займають важливе місце у соціально-економічному розвитку міста.</w:t>
      </w:r>
    </w:p>
    <w:p w:rsidR="00DE184C" w:rsidRDefault="00DE184C" w:rsidP="00DE184C">
      <w:pPr>
        <w:tabs>
          <w:tab w:val="left" w:pos="916"/>
        </w:tabs>
        <w:suppressAutoHyphens/>
        <w:ind w:firstLine="709"/>
        <w:jc w:val="both"/>
        <w:rPr>
          <w:sz w:val="28"/>
          <w:szCs w:val="28"/>
          <w:lang w:eastAsia="ar-SA"/>
        </w:rPr>
      </w:pPr>
      <w:r>
        <w:rPr>
          <w:sz w:val="28"/>
          <w:szCs w:val="28"/>
          <w:lang w:eastAsia="ar-SA"/>
        </w:rPr>
        <w:t>За інформацією ГУ ДПС у Полтавській області станом на 01.01.2020 у м. Кременчук кількість суб’єктів підприємницької діяльності, працюючих на спрощеній системі оподаткування, в порівнянні з 2018 роком  зросла на 98 осіб і складає 8 799 підприємців, із них: юридичних осіб – 908, фізичних осіб-підприємців – 7 891.</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У сьогоднішніх ринкових умовах галузь торгівлі є однією з найрозвинутіших. </w:t>
      </w:r>
    </w:p>
    <w:p w:rsidR="00DE184C" w:rsidRDefault="00DE184C" w:rsidP="00DE184C">
      <w:pPr>
        <w:tabs>
          <w:tab w:val="left" w:pos="916"/>
        </w:tabs>
        <w:suppressAutoHyphens/>
        <w:ind w:firstLine="709"/>
        <w:jc w:val="both"/>
        <w:rPr>
          <w:sz w:val="28"/>
          <w:szCs w:val="28"/>
          <w:lang w:eastAsia="ar-SA"/>
        </w:rPr>
      </w:pPr>
      <w:r>
        <w:rPr>
          <w:sz w:val="28"/>
          <w:szCs w:val="28"/>
          <w:lang w:eastAsia="ar-SA"/>
        </w:rPr>
        <w:t>Станом на 01.01.2020 у місті налічується 2 360 об’єктів роздрібної торгівлі, ресторанного господарства та сфери послуг.</w:t>
      </w:r>
    </w:p>
    <w:p w:rsidR="00DE184C" w:rsidRDefault="00DE184C" w:rsidP="00DE184C">
      <w:pPr>
        <w:tabs>
          <w:tab w:val="left" w:pos="916"/>
        </w:tabs>
        <w:ind w:firstLine="709"/>
        <w:jc w:val="both"/>
        <w:rPr>
          <w:color w:val="FF0000"/>
          <w:sz w:val="28"/>
          <w:szCs w:val="28"/>
          <w:lang w:eastAsia="ru-RU"/>
        </w:rPr>
      </w:pPr>
      <w:r>
        <w:rPr>
          <w:sz w:val="28"/>
          <w:szCs w:val="28"/>
          <w:lang w:eastAsia="ar-SA"/>
        </w:rPr>
        <w:t>Торгівельна мережа міста складає 1 243 магазинів (із них 490 продовольчих) та 12 ринків.</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Мережа загальнодоступних закладів ресторанного господарства складає 274 об’єкти. </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У сфері побутових послуг міста в основному задіяні малі підприємства та фізичні особи-підприємці. </w:t>
      </w:r>
    </w:p>
    <w:p w:rsidR="00DE184C" w:rsidRDefault="00DE184C" w:rsidP="00DE184C">
      <w:pPr>
        <w:tabs>
          <w:tab w:val="left" w:pos="916"/>
        </w:tabs>
        <w:ind w:firstLine="709"/>
        <w:jc w:val="both"/>
        <w:rPr>
          <w:sz w:val="28"/>
          <w:szCs w:val="28"/>
          <w:lang w:eastAsia="ar-SA"/>
        </w:rPr>
      </w:pPr>
      <w:r>
        <w:rPr>
          <w:sz w:val="28"/>
          <w:szCs w:val="28"/>
          <w:lang w:eastAsia="ar-SA"/>
        </w:rPr>
        <w:t>За 2019 рік надано погоджень на розміщення 106 сезонних тимчасових пересувних споруд та 343 – для здійснення святкової торгівлі на вулицях міста (107 сезонних ПТС та 325 святкових ПТС за 2018 рік).</w:t>
      </w:r>
    </w:p>
    <w:p w:rsidR="00DE184C" w:rsidRDefault="00DE184C" w:rsidP="00DE184C">
      <w:pPr>
        <w:tabs>
          <w:tab w:val="left" w:pos="916"/>
        </w:tabs>
        <w:ind w:firstLine="709"/>
        <w:jc w:val="both"/>
        <w:rPr>
          <w:color w:val="FF0000"/>
          <w:sz w:val="28"/>
          <w:szCs w:val="28"/>
          <w:lang w:eastAsia="ru-RU"/>
        </w:rPr>
      </w:pPr>
      <w:r>
        <w:rPr>
          <w:sz w:val="28"/>
          <w:szCs w:val="28"/>
        </w:rPr>
        <w:t xml:space="preserve">У місті працює 7 провідних підприємств харчової промисловості, 8 міні-пекарень, 5 м’ясопереробних підприємств, 1 цех з виробництва пельменів, 6 кондитерських </w:t>
      </w:r>
      <w:proofErr w:type="spellStart"/>
      <w:r>
        <w:rPr>
          <w:sz w:val="28"/>
          <w:szCs w:val="28"/>
        </w:rPr>
        <w:t>цехів</w:t>
      </w:r>
      <w:proofErr w:type="spellEnd"/>
      <w:r>
        <w:rPr>
          <w:sz w:val="28"/>
          <w:szCs w:val="28"/>
        </w:rPr>
        <w:t xml:space="preserve">, 5 </w:t>
      </w:r>
      <w:proofErr w:type="spellStart"/>
      <w:r>
        <w:rPr>
          <w:sz w:val="28"/>
          <w:szCs w:val="28"/>
        </w:rPr>
        <w:t>борошняно</w:t>
      </w:r>
      <w:proofErr w:type="spellEnd"/>
      <w:r>
        <w:rPr>
          <w:sz w:val="28"/>
          <w:szCs w:val="28"/>
        </w:rPr>
        <w:t xml:space="preserve">-кондитерських </w:t>
      </w:r>
      <w:proofErr w:type="spellStart"/>
      <w:r>
        <w:rPr>
          <w:sz w:val="28"/>
          <w:szCs w:val="28"/>
        </w:rPr>
        <w:t>цехів</w:t>
      </w:r>
      <w:proofErr w:type="spellEnd"/>
      <w:r>
        <w:rPr>
          <w:sz w:val="28"/>
          <w:szCs w:val="28"/>
        </w:rPr>
        <w:t>, 3 підприємства борошномельної промисловості, 3 підприємства по виробництву та розливу води, 1 підприємство по виробництву рослинної олії, 1 цех по виготовленню макаронних виробів, 3 цехи з переробки та консервування риби та ракоподібних, 1 сироварня.</w:t>
      </w:r>
    </w:p>
    <w:p w:rsidR="00DE184C" w:rsidRDefault="00DE184C" w:rsidP="00DE184C">
      <w:pPr>
        <w:tabs>
          <w:tab w:val="left" w:pos="916"/>
        </w:tabs>
        <w:ind w:firstLine="709"/>
        <w:jc w:val="both"/>
        <w:rPr>
          <w:bCs/>
          <w:sz w:val="28"/>
          <w:szCs w:val="20"/>
        </w:rPr>
      </w:pPr>
      <w:r>
        <w:rPr>
          <w:bCs/>
          <w:sz w:val="28"/>
          <w:szCs w:val="20"/>
        </w:rPr>
        <w:t>Житлово-комунальне господарство м. Кременчука представлено 11 комунальними підприємствами, які здійснюють свою діяльність у таких сферах: зелене господарство, водопостачання і каналізаційне господарство, теплопостачання, вуличне освітлення, благоустрій, ритуальне обслуговування населення, санітарне очищення та інше.</w:t>
      </w:r>
    </w:p>
    <w:p w:rsidR="00DE184C" w:rsidRDefault="00DE184C" w:rsidP="00DE184C">
      <w:pPr>
        <w:tabs>
          <w:tab w:val="left" w:pos="916"/>
        </w:tabs>
        <w:suppressAutoHyphens/>
        <w:ind w:firstLine="709"/>
        <w:jc w:val="both"/>
        <w:rPr>
          <w:bCs/>
          <w:sz w:val="28"/>
          <w:szCs w:val="28"/>
        </w:rPr>
      </w:pPr>
      <w:r>
        <w:rPr>
          <w:bCs/>
          <w:sz w:val="28"/>
          <w:szCs w:val="28"/>
        </w:rPr>
        <w:t>Місто характеризується високим рівнем благоустрою та надання населенню житлово-комунальних послуг.</w:t>
      </w:r>
    </w:p>
    <w:p w:rsidR="00DE184C" w:rsidRDefault="00DE184C" w:rsidP="00DE184C">
      <w:pPr>
        <w:pStyle w:val="1"/>
        <w:tabs>
          <w:tab w:val="left" w:pos="916"/>
        </w:tabs>
        <w:ind w:firstLine="709"/>
        <w:jc w:val="both"/>
        <w:rPr>
          <w:rFonts w:ascii="Times New Roman" w:hAnsi="Times New Roman"/>
          <w:sz w:val="28"/>
          <w:lang w:val="uk-UA"/>
        </w:rPr>
      </w:pPr>
      <w:r>
        <w:rPr>
          <w:rFonts w:ascii="Times New Roman" w:hAnsi="Times New Roman"/>
          <w:sz w:val="28"/>
          <w:lang w:val="uk-UA"/>
        </w:rPr>
        <w:t>Будівельна галузь є однією з найважливіших галузей народного господарства, від якої залежить ефективність функціонування всієї системи господарювання. Важливим напрямком у будівельній галузі залишається житлове будівництво.</w:t>
      </w:r>
    </w:p>
    <w:p w:rsidR="00DE184C" w:rsidRDefault="00DE184C" w:rsidP="00DE184C">
      <w:pPr>
        <w:tabs>
          <w:tab w:val="num" w:pos="536"/>
          <w:tab w:val="left" w:pos="916"/>
        </w:tabs>
        <w:ind w:firstLine="709"/>
        <w:jc w:val="both"/>
        <w:rPr>
          <w:sz w:val="28"/>
          <w:szCs w:val="28"/>
          <w:lang w:eastAsia="ar-SA"/>
        </w:rPr>
      </w:pPr>
      <w:r>
        <w:rPr>
          <w:sz w:val="28"/>
          <w:szCs w:val="28"/>
          <w:lang w:eastAsia="ar-SA"/>
        </w:rPr>
        <w:lastRenderedPageBreak/>
        <w:t xml:space="preserve">За 2019 рік очікується ввести в експлуатацію 25,4 тис. </w:t>
      </w:r>
      <w:proofErr w:type="spellStart"/>
      <w:r>
        <w:rPr>
          <w:sz w:val="28"/>
          <w:szCs w:val="28"/>
          <w:lang w:eastAsia="ar-SA"/>
        </w:rPr>
        <w:t>кв</w:t>
      </w:r>
      <w:proofErr w:type="spellEnd"/>
      <w:r>
        <w:rPr>
          <w:sz w:val="28"/>
          <w:szCs w:val="28"/>
          <w:lang w:eastAsia="ar-SA"/>
        </w:rPr>
        <w:t>. м загальної площі житла, що становить 93,1 % до 2018 року.</w:t>
      </w:r>
    </w:p>
    <w:p w:rsidR="00DE184C" w:rsidRDefault="00DE184C" w:rsidP="00DE184C">
      <w:pPr>
        <w:tabs>
          <w:tab w:val="left" w:pos="916"/>
        </w:tabs>
        <w:suppressAutoHyphens/>
        <w:ind w:left="709"/>
        <w:jc w:val="both"/>
        <w:rPr>
          <w:sz w:val="28"/>
          <w:szCs w:val="28"/>
          <w:lang w:eastAsia="ar-SA"/>
        </w:rPr>
      </w:pPr>
    </w:p>
    <w:p w:rsidR="00DE184C" w:rsidRDefault="00DE184C" w:rsidP="00DE184C">
      <w:pPr>
        <w:tabs>
          <w:tab w:val="num" w:pos="720"/>
          <w:tab w:val="left" w:pos="916"/>
        </w:tabs>
        <w:ind w:firstLine="709"/>
        <w:jc w:val="both"/>
        <w:rPr>
          <w:color w:val="FF0000"/>
          <w:sz w:val="28"/>
          <w:szCs w:val="28"/>
          <w:lang w:eastAsia="ru-RU"/>
        </w:rPr>
      </w:pPr>
      <w:r>
        <w:rPr>
          <w:sz w:val="28"/>
          <w:szCs w:val="28"/>
        </w:rPr>
        <w:t>Станом на 01.01.2020 за даними комунального підприємства «Квартирне управління» на квартирному обліку при міськвиконкомі перебуває 2 120 сімей. За січень-грудень 2019 року одержали житло та покращили свої житлові умови 52 сім’ї.</w:t>
      </w:r>
    </w:p>
    <w:p w:rsidR="00DE184C" w:rsidRDefault="00DE184C" w:rsidP="00DE184C">
      <w:pPr>
        <w:tabs>
          <w:tab w:val="left" w:pos="-2977"/>
          <w:tab w:val="left" w:pos="916"/>
        </w:tabs>
        <w:suppressAutoHyphens/>
        <w:ind w:firstLine="709"/>
        <w:jc w:val="both"/>
        <w:rPr>
          <w:sz w:val="28"/>
          <w:szCs w:val="28"/>
          <w:lang w:eastAsia="ar-SA"/>
        </w:rPr>
      </w:pPr>
      <w:r>
        <w:rPr>
          <w:sz w:val="28"/>
          <w:szCs w:val="28"/>
          <w:lang w:eastAsia="ar-SA"/>
        </w:rPr>
        <w:t xml:space="preserve">У місті </w:t>
      </w:r>
      <w:proofErr w:type="spellStart"/>
      <w:r>
        <w:rPr>
          <w:sz w:val="28"/>
          <w:szCs w:val="28"/>
          <w:lang w:eastAsia="ar-SA"/>
        </w:rPr>
        <w:t>Кременчуці</w:t>
      </w:r>
      <w:proofErr w:type="spellEnd"/>
      <w:r>
        <w:rPr>
          <w:sz w:val="28"/>
          <w:szCs w:val="28"/>
          <w:lang w:eastAsia="ar-SA"/>
        </w:rPr>
        <w:t xml:space="preserve"> функціонують 8 тролейбусних і 19 автобусних маршрутів, які обслуговують комунальне підприємство «Кременчуцьке тролейбусне управління імені Л.Я. Левітана» і 9 приватних автомобільних підприємств. Щодня на маршрутах міста працюють 50 тролейбусів і 225 автобусів.</w:t>
      </w:r>
    </w:p>
    <w:p w:rsidR="00DE184C" w:rsidRDefault="00DE184C" w:rsidP="00DE184C">
      <w:pPr>
        <w:tabs>
          <w:tab w:val="left" w:pos="916"/>
        </w:tabs>
        <w:ind w:firstLine="709"/>
        <w:jc w:val="both"/>
        <w:rPr>
          <w:sz w:val="28"/>
          <w:lang w:eastAsia="ar-SA"/>
        </w:rPr>
      </w:pPr>
      <w:r>
        <w:rPr>
          <w:sz w:val="28"/>
          <w:lang w:eastAsia="ar-SA"/>
        </w:rPr>
        <w:t xml:space="preserve">Протягом звітного періоду в </w:t>
      </w:r>
      <w:proofErr w:type="spellStart"/>
      <w:r>
        <w:rPr>
          <w:sz w:val="28"/>
          <w:lang w:eastAsia="ar-SA"/>
        </w:rPr>
        <w:t>міськрайцентрі</w:t>
      </w:r>
      <w:proofErr w:type="spellEnd"/>
      <w:r>
        <w:rPr>
          <w:sz w:val="28"/>
          <w:lang w:eastAsia="ar-SA"/>
        </w:rPr>
        <w:t xml:space="preserve"> зайнятості перебувало на обліку 4</w:t>
      </w:r>
      <w:r>
        <w:rPr>
          <w:sz w:val="28"/>
          <w:lang w:val="en-US" w:eastAsia="ar-SA"/>
        </w:rPr>
        <w:t> </w:t>
      </w:r>
      <w:r>
        <w:rPr>
          <w:sz w:val="28"/>
          <w:lang w:eastAsia="ar-SA"/>
        </w:rPr>
        <w:t>443 безробітних.</w:t>
      </w:r>
    </w:p>
    <w:p w:rsidR="00DE184C" w:rsidRDefault="00DE184C" w:rsidP="00DE184C">
      <w:pPr>
        <w:tabs>
          <w:tab w:val="left" w:pos="916"/>
        </w:tabs>
        <w:suppressAutoHyphens/>
        <w:ind w:firstLine="709"/>
        <w:jc w:val="both"/>
        <w:rPr>
          <w:sz w:val="28"/>
          <w:lang w:eastAsia="ar-SA"/>
        </w:rPr>
      </w:pPr>
      <w:r>
        <w:rPr>
          <w:sz w:val="28"/>
          <w:lang w:eastAsia="ar-SA"/>
        </w:rPr>
        <w:t xml:space="preserve">Фактично </w:t>
      </w:r>
      <w:proofErr w:type="spellStart"/>
      <w:r>
        <w:rPr>
          <w:sz w:val="28"/>
          <w:lang w:eastAsia="ar-SA"/>
        </w:rPr>
        <w:t>працевлаштовано</w:t>
      </w:r>
      <w:proofErr w:type="spellEnd"/>
      <w:r>
        <w:rPr>
          <w:sz w:val="28"/>
          <w:lang w:eastAsia="ar-SA"/>
        </w:rPr>
        <w:t xml:space="preserve"> на вільні та новостворені робочі місця 1</w:t>
      </w:r>
      <w:r>
        <w:rPr>
          <w:sz w:val="28"/>
          <w:lang w:val="en-US" w:eastAsia="ar-SA"/>
        </w:rPr>
        <w:t> </w:t>
      </w:r>
      <w:r>
        <w:rPr>
          <w:sz w:val="28"/>
          <w:lang w:eastAsia="ar-SA"/>
        </w:rPr>
        <w:t xml:space="preserve">726 безробітних, в тому числі шляхом компенсації роботодавцям витрат у розмірі єдиного внеску на загальнообов’язкове державне соціальне страхування </w:t>
      </w:r>
      <w:proofErr w:type="spellStart"/>
      <w:r>
        <w:rPr>
          <w:sz w:val="28"/>
          <w:lang w:eastAsia="ar-SA"/>
        </w:rPr>
        <w:t>працевлаштовано</w:t>
      </w:r>
      <w:proofErr w:type="spellEnd"/>
      <w:r>
        <w:rPr>
          <w:sz w:val="28"/>
          <w:lang w:eastAsia="ar-SA"/>
        </w:rPr>
        <w:t xml:space="preserve"> 101 безробітного.</w:t>
      </w:r>
    </w:p>
    <w:p w:rsidR="00DE184C" w:rsidRDefault="00DE184C" w:rsidP="00DE184C">
      <w:pPr>
        <w:shd w:val="clear" w:color="auto" w:fill="FFFFFF"/>
        <w:tabs>
          <w:tab w:val="left" w:pos="916"/>
        </w:tabs>
        <w:ind w:right="21" w:firstLine="709"/>
        <w:jc w:val="both"/>
        <w:rPr>
          <w:sz w:val="28"/>
          <w:szCs w:val="28"/>
        </w:rPr>
      </w:pPr>
      <w:r>
        <w:rPr>
          <w:sz w:val="28"/>
          <w:szCs w:val="28"/>
        </w:rPr>
        <w:t>Станом на 01.01.2020 року центр зайнятості має інформацію від підприємств, установ та організацій про 1</w:t>
      </w:r>
      <w:r>
        <w:rPr>
          <w:sz w:val="28"/>
          <w:szCs w:val="28"/>
          <w:lang w:val="en-US"/>
        </w:rPr>
        <w:t> </w:t>
      </w:r>
      <w:r>
        <w:rPr>
          <w:sz w:val="28"/>
          <w:szCs w:val="28"/>
        </w:rPr>
        <w:t>096 вакантних посад.</w:t>
      </w:r>
    </w:p>
    <w:p w:rsidR="00DE184C" w:rsidRDefault="00DE184C" w:rsidP="00DE184C">
      <w:pPr>
        <w:shd w:val="clear" w:color="auto" w:fill="FFFFFF"/>
        <w:tabs>
          <w:tab w:val="left" w:pos="916"/>
        </w:tabs>
        <w:ind w:right="21" w:firstLine="709"/>
        <w:jc w:val="both"/>
        <w:rPr>
          <w:sz w:val="28"/>
          <w:szCs w:val="28"/>
        </w:rPr>
      </w:pPr>
      <w:r>
        <w:rPr>
          <w:sz w:val="28"/>
          <w:szCs w:val="28"/>
        </w:rPr>
        <w:t>Станом на 01.01.2020 року на обліку перебувають 1</w:t>
      </w:r>
      <w:r>
        <w:rPr>
          <w:sz w:val="28"/>
          <w:szCs w:val="28"/>
          <w:lang w:val="en-US"/>
        </w:rPr>
        <w:t> </w:t>
      </w:r>
      <w:r>
        <w:rPr>
          <w:sz w:val="28"/>
          <w:szCs w:val="28"/>
        </w:rPr>
        <w:t>197 безробітних.</w:t>
      </w:r>
    </w:p>
    <w:p w:rsidR="00DE184C" w:rsidRDefault="00DE184C" w:rsidP="00DE184C">
      <w:pPr>
        <w:shd w:val="clear" w:color="auto" w:fill="FFFFFF"/>
        <w:tabs>
          <w:tab w:val="left" w:pos="916"/>
        </w:tabs>
        <w:suppressAutoHyphens/>
        <w:ind w:right="21" w:firstLine="709"/>
        <w:jc w:val="both"/>
        <w:rPr>
          <w:sz w:val="28"/>
          <w:szCs w:val="28"/>
          <w:lang w:eastAsia="ar-SA"/>
        </w:rPr>
      </w:pPr>
      <w:r>
        <w:rPr>
          <w:sz w:val="28"/>
          <w:szCs w:val="28"/>
          <w:lang w:eastAsia="ar-SA"/>
        </w:rPr>
        <w:t>Середньомісячна заробітна плата одного працівника за ІІІ квартал 2019 року становила – 11 138,00 грн, а за ІІІ квартал 2018 року – 9 231,0 грн, зростання середньомісячної заробітної плати відбулось на 20,7 % до відповідного періоду минулого року.</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За статистичними даними загальна сума боргу із виплати заробітної плати на підприємствах-боржниках м. Кременчука станом на 01.01.2020 складає 15 432,0 тис. грн. </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Порівняно з 01.01.2019  загальна сума заборгованості збільшилась у 22,1 рази. Зростання боргу </w:t>
      </w:r>
      <w:proofErr w:type="spellStart"/>
      <w:r>
        <w:rPr>
          <w:sz w:val="28"/>
          <w:szCs w:val="28"/>
          <w:lang w:eastAsia="ar-SA"/>
        </w:rPr>
        <w:t>виникло</w:t>
      </w:r>
      <w:proofErr w:type="spellEnd"/>
      <w:r>
        <w:rPr>
          <w:sz w:val="28"/>
          <w:szCs w:val="28"/>
          <w:lang w:eastAsia="ar-SA"/>
        </w:rPr>
        <w:t xml:space="preserve"> за рахунок не виплати заробітної плати працівникам ПрАТ «АвтоКрАЗ» у сумі 10 090,3 тис. грн та                                          ТОВ «НВФ «</w:t>
      </w:r>
      <w:proofErr w:type="spellStart"/>
      <w:r>
        <w:rPr>
          <w:sz w:val="28"/>
          <w:szCs w:val="28"/>
          <w:lang w:eastAsia="ar-SA"/>
        </w:rPr>
        <w:t>Техвагонмаш</w:t>
      </w:r>
      <w:proofErr w:type="spellEnd"/>
      <w:r>
        <w:rPr>
          <w:sz w:val="28"/>
          <w:szCs w:val="28"/>
          <w:lang w:eastAsia="ar-SA"/>
        </w:rPr>
        <w:t>» у сумі 4 629,7 тис. грн.</w:t>
      </w:r>
    </w:p>
    <w:p w:rsidR="00DE184C" w:rsidRDefault="00DE184C" w:rsidP="00DE184C">
      <w:pPr>
        <w:shd w:val="clear" w:color="auto" w:fill="FFFFFF"/>
        <w:tabs>
          <w:tab w:val="left" w:pos="916"/>
        </w:tabs>
        <w:suppressAutoHyphens/>
        <w:ind w:firstLine="709"/>
        <w:jc w:val="both"/>
        <w:rPr>
          <w:sz w:val="28"/>
          <w:szCs w:val="28"/>
          <w:lang w:eastAsia="ar-SA"/>
        </w:rPr>
      </w:pPr>
      <w:r>
        <w:rPr>
          <w:sz w:val="28"/>
          <w:szCs w:val="28"/>
          <w:lang w:eastAsia="ar-SA"/>
        </w:rPr>
        <w:t>Слід відмітити, що у місті відсутня заборгованість із заробітної плати на комунальних підприємствах, а також в бюджетних установах та організаціях, що фінансуються за рахунок коштів місцевого бюджету.</w:t>
      </w:r>
    </w:p>
    <w:p w:rsidR="00DE184C" w:rsidRDefault="00DE184C" w:rsidP="00DE184C">
      <w:pPr>
        <w:tabs>
          <w:tab w:val="left" w:pos="916"/>
        </w:tabs>
        <w:ind w:firstLine="709"/>
        <w:jc w:val="both"/>
        <w:rPr>
          <w:sz w:val="28"/>
          <w:szCs w:val="28"/>
          <w:lang w:eastAsia="ru-RU"/>
        </w:rPr>
      </w:pPr>
      <w:r>
        <w:rPr>
          <w:sz w:val="28"/>
          <w:szCs w:val="28"/>
          <w:lang w:eastAsia="ru-RU"/>
        </w:rPr>
        <w:t>Результатами спільних заходів та зусиль є досягнення й в інших сферах діяльності міста.</w:t>
      </w:r>
    </w:p>
    <w:p w:rsidR="00DE184C" w:rsidRDefault="00DE184C" w:rsidP="00DE184C">
      <w:pPr>
        <w:tabs>
          <w:tab w:val="left" w:pos="916"/>
        </w:tabs>
        <w:ind w:firstLine="709"/>
        <w:jc w:val="center"/>
        <w:rPr>
          <w:b/>
          <w:sz w:val="28"/>
          <w:szCs w:val="28"/>
          <w:lang w:eastAsia="ru-RU"/>
        </w:rPr>
      </w:pPr>
    </w:p>
    <w:p w:rsidR="00DE184C" w:rsidRDefault="00DE184C" w:rsidP="00DE184C">
      <w:pPr>
        <w:tabs>
          <w:tab w:val="left" w:pos="916"/>
        </w:tabs>
        <w:ind w:firstLine="709"/>
        <w:jc w:val="center"/>
        <w:rPr>
          <w:b/>
          <w:sz w:val="28"/>
          <w:szCs w:val="28"/>
          <w:lang w:eastAsia="ru-RU"/>
        </w:rPr>
      </w:pPr>
    </w:p>
    <w:p w:rsidR="00DE184C" w:rsidRDefault="00DE184C" w:rsidP="00DE184C">
      <w:pPr>
        <w:tabs>
          <w:tab w:val="left" w:pos="916"/>
        </w:tabs>
        <w:ind w:firstLine="709"/>
        <w:jc w:val="center"/>
        <w:rPr>
          <w:b/>
          <w:sz w:val="28"/>
          <w:szCs w:val="28"/>
          <w:lang w:eastAsia="ru-RU"/>
        </w:rPr>
      </w:pPr>
      <w:r>
        <w:rPr>
          <w:b/>
          <w:sz w:val="28"/>
          <w:szCs w:val="28"/>
          <w:lang w:eastAsia="ru-RU"/>
        </w:rPr>
        <w:t>ДОХОДИ</w:t>
      </w:r>
    </w:p>
    <w:p w:rsidR="00DE184C" w:rsidRDefault="00DE184C" w:rsidP="00DE184C">
      <w:pPr>
        <w:tabs>
          <w:tab w:val="left" w:pos="916"/>
        </w:tabs>
        <w:ind w:firstLine="709"/>
        <w:jc w:val="center"/>
        <w:rPr>
          <w:b/>
          <w:bCs/>
          <w:color w:val="FF0000"/>
          <w:sz w:val="28"/>
          <w:szCs w:val="28"/>
          <w:lang w:eastAsia="ru-RU"/>
        </w:rPr>
      </w:pPr>
    </w:p>
    <w:p w:rsidR="00DE184C" w:rsidRDefault="00DE184C" w:rsidP="00DE184C">
      <w:pPr>
        <w:tabs>
          <w:tab w:val="left" w:pos="916"/>
        </w:tabs>
        <w:ind w:right="-2" w:firstLine="709"/>
        <w:jc w:val="both"/>
        <w:rPr>
          <w:bCs/>
          <w:color w:val="FF0000"/>
          <w:sz w:val="28"/>
          <w:szCs w:val="28"/>
        </w:rPr>
      </w:pPr>
      <w:r>
        <w:rPr>
          <w:sz w:val="28"/>
          <w:szCs w:val="28"/>
          <w:lang w:eastAsia="ru-RU"/>
        </w:rPr>
        <w:t xml:space="preserve">Відповідно до звіту, поданого управлінням Державної казначейської служби України  у м. </w:t>
      </w:r>
      <w:proofErr w:type="spellStart"/>
      <w:r>
        <w:rPr>
          <w:sz w:val="28"/>
          <w:szCs w:val="28"/>
          <w:lang w:eastAsia="ru-RU"/>
        </w:rPr>
        <w:t>Кременчуці</w:t>
      </w:r>
      <w:proofErr w:type="spellEnd"/>
      <w:r>
        <w:rPr>
          <w:sz w:val="28"/>
          <w:szCs w:val="28"/>
          <w:lang w:eastAsia="ru-RU"/>
        </w:rPr>
        <w:t xml:space="preserve"> Полтавської області,  за  2019 рік  до  місцевого  бюджету  м. Кременчука  при уточненому річному плані               </w:t>
      </w:r>
      <w:r>
        <w:rPr>
          <w:bCs/>
          <w:sz w:val="28"/>
          <w:szCs w:val="28"/>
        </w:rPr>
        <w:lastRenderedPageBreak/>
        <w:t>2 567 021,5 тис. грн</w:t>
      </w:r>
      <w:r>
        <w:rPr>
          <w:sz w:val="28"/>
          <w:szCs w:val="28"/>
          <w:lang w:eastAsia="ru-RU"/>
        </w:rPr>
        <w:t xml:space="preserve"> фактично надійшло  2 253 173,6 тис. грн або  виконання плану забезпечено  на 87,8% /-/ 313 847,9 тис. грн.</w:t>
      </w:r>
    </w:p>
    <w:p w:rsidR="00DE184C" w:rsidRDefault="00DE184C" w:rsidP="00DE184C">
      <w:pPr>
        <w:tabs>
          <w:tab w:val="left" w:pos="916"/>
        </w:tabs>
        <w:ind w:right="-2" w:firstLine="709"/>
        <w:jc w:val="both"/>
        <w:rPr>
          <w:sz w:val="28"/>
          <w:szCs w:val="28"/>
          <w:lang w:eastAsia="ru-RU"/>
        </w:rPr>
      </w:pPr>
      <w:r>
        <w:rPr>
          <w:sz w:val="28"/>
          <w:szCs w:val="28"/>
          <w:lang w:eastAsia="ru-RU"/>
        </w:rPr>
        <w:t xml:space="preserve">При уточненому річному плані </w:t>
      </w:r>
      <w:r>
        <w:rPr>
          <w:sz w:val="28"/>
          <w:szCs w:val="28"/>
        </w:rPr>
        <w:t xml:space="preserve">(без урахування офіційних трансфертів) </w:t>
      </w:r>
      <w:r>
        <w:rPr>
          <w:b/>
          <w:sz w:val="28"/>
          <w:szCs w:val="28"/>
          <w:lang w:val="ru-RU"/>
        </w:rPr>
        <w:t>1 841 423,9</w:t>
      </w:r>
      <w:r>
        <w:rPr>
          <w:sz w:val="28"/>
          <w:szCs w:val="28"/>
        </w:rPr>
        <w:t xml:space="preserve"> тис. грн</w:t>
      </w:r>
      <w:r>
        <w:rPr>
          <w:sz w:val="28"/>
          <w:szCs w:val="28"/>
          <w:lang w:eastAsia="ru-RU"/>
        </w:rPr>
        <w:t xml:space="preserve">  до місцевого  бюджет фактично надійшло                          1 579 529,1 тис. грн  або  виконання плану забезпечено  на 85,8% /-/                  261 894,8 тис. грн.</w:t>
      </w:r>
    </w:p>
    <w:p w:rsidR="00DE184C" w:rsidRDefault="00DE184C" w:rsidP="00DE184C">
      <w:pPr>
        <w:tabs>
          <w:tab w:val="left" w:pos="916"/>
        </w:tabs>
        <w:ind w:right="-2" w:firstLine="709"/>
        <w:jc w:val="both"/>
        <w:rPr>
          <w:sz w:val="28"/>
          <w:szCs w:val="28"/>
          <w:lang w:eastAsia="ru-RU"/>
        </w:rPr>
      </w:pPr>
    </w:p>
    <w:p w:rsidR="00DE184C" w:rsidRDefault="00DE184C" w:rsidP="00DE184C">
      <w:pPr>
        <w:tabs>
          <w:tab w:val="left" w:pos="916"/>
        </w:tabs>
        <w:ind w:firstLine="7797"/>
        <w:rPr>
          <w:b/>
          <w:bCs/>
          <w:sz w:val="28"/>
          <w:szCs w:val="28"/>
          <w:lang w:eastAsia="ru-RU"/>
        </w:rPr>
      </w:pPr>
      <w:r>
        <w:rPr>
          <w:bCs/>
          <w:sz w:val="28"/>
          <w:szCs w:val="28"/>
          <w:lang w:eastAsia="ru-RU"/>
        </w:rPr>
        <w:t>тис. грн</w:t>
      </w:r>
    </w:p>
    <w:p w:rsidR="00DE184C" w:rsidRDefault="00DE184C" w:rsidP="00DE184C">
      <w:pPr>
        <w:tabs>
          <w:tab w:val="left" w:pos="916"/>
        </w:tabs>
        <w:jc w:val="center"/>
        <w:rPr>
          <w:b/>
          <w:bCs/>
          <w:sz w:val="28"/>
          <w:szCs w:val="28"/>
          <w:lang w:eastAsia="ru-RU"/>
        </w:rPr>
      </w:pPr>
      <w:r>
        <w:rPr>
          <w:noProof/>
          <w:lang w:val="ru-RU" w:eastAsia="ru-RU"/>
        </w:rPr>
        <w:drawing>
          <wp:inline distT="0" distB="0" distL="0" distR="0">
            <wp:extent cx="5930900" cy="64135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0900" cy="6413500"/>
                    </a:xfrm>
                    <a:prstGeom prst="rect">
                      <a:avLst/>
                    </a:prstGeom>
                    <a:noFill/>
                    <a:ln>
                      <a:noFill/>
                    </a:ln>
                  </pic:spPr>
                </pic:pic>
              </a:graphicData>
            </a:graphic>
          </wp:inline>
        </w:drawing>
      </w:r>
    </w:p>
    <w:p w:rsidR="00DE184C" w:rsidRDefault="00DE184C" w:rsidP="00DE184C">
      <w:pPr>
        <w:tabs>
          <w:tab w:val="left" w:pos="916"/>
        </w:tabs>
        <w:ind w:right="-2" w:firstLine="709"/>
        <w:jc w:val="both"/>
        <w:rPr>
          <w:bCs/>
          <w:color w:val="FF0000"/>
          <w:sz w:val="28"/>
          <w:szCs w:val="28"/>
        </w:rPr>
      </w:pPr>
    </w:p>
    <w:p w:rsidR="00DE184C" w:rsidRDefault="00DE184C" w:rsidP="00DE184C">
      <w:pPr>
        <w:tabs>
          <w:tab w:val="left" w:pos="916"/>
        </w:tabs>
        <w:ind w:right="-2" w:firstLine="709"/>
        <w:jc w:val="both"/>
        <w:rPr>
          <w:bCs/>
          <w:color w:val="FF0000"/>
          <w:sz w:val="28"/>
          <w:szCs w:val="28"/>
        </w:rPr>
      </w:pPr>
      <w:r>
        <w:rPr>
          <w:bCs/>
          <w:sz w:val="28"/>
          <w:szCs w:val="28"/>
        </w:rPr>
        <w:t>По офіційних  трансфертах бюджету міста</w:t>
      </w:r>
      <w:r>
        <w:rPr>
          <w:bCs/>
          <w:color w:val="FF0000"/>
          <w:sz w:val="28"/>
          <w:szCs w:val="28"/>
        </w:rPr>
        <w:t xml:space="preserve"> </w:t>
      </w:r>
      <w:r>
        <w:rPr>
          <w:sz w:val="28"/>
          <w:szCs w:val="28"/>
          <w:lang w:eastAsia="ru-RU"/>
        </w:rPr>
        <w:t xml:space="preserve">при уточненому річному плані </w:t>
      </w:r>
      <w:r>
        <w:rPr>
          <w:bCs/>
          <w:sz w:val="28"/>
          <w:szCs w:val="28"/>
        </w:rPr>
        <w:t>725 597,5 тис. грн</w:t>
      </w:r>
      <w:r>
        <w:rPr>
          <w:sz w:val="28"/>
          <w:szCs w:val="28"/>
          <w:lang w:eastAsia="ru-RU"/>
        </w:rPr>
        <w:t xml:space="preserve"> фактично надійшло  673 644,5 тис. грн або  виконання плану забезпечено  на 92,8% /-/ 51 953,0 тис. грн.</w:t>
      </w:r>
    </w:p>
    <w:p w:rsidR="00DE184C" w:rsidRDefault="00DE184C" w:rsidP="00DE184C">
      <w:pPr>
        <w:tabs>
          <w:tab w:val="left" w:pos="916"/>
        </w:tabs>
        <w:ind w:right="-2" w:firstLine="709"/>
        <w:jc w:val="both"/>
        <w:rPr>
          <w:bCs/>
          <w:color w:val="FF0000"/>
          <w:sz w:val="28"/>
          <w:szCs w:val="28"/>
        </w:rPr>
      </w:pPr>
    </w:p>
    <w:p w:rsidR="00DE184C" w:rsidRDefault="00DE184C" w:rsidP="00DE184C">
      <w:pPr>
        <w:tabs>
          <w:tab w:val="left" w:pos="916"/>
          <w:tab w:val="left" w:pos="2464"/>
        </w:tabs>
        <w:ind w:firstLine="7230"/>
        <w:jc w:val="center"/>
        <w:rPr>
          <w:bCs/>
          <w:sz w:val="28"/>
          <w:szCs w:val="28"/>
          <w:lang w:eastAsia="ru-RU"/>
        </w:rPr>
      </w:pPr>
      <w:r>
        <w:rPr>
          <w:bCs/>
          <w:sz w:val="28"/>
          <w:szCs w:val="28"/>
          <w:lang w:eastAsia="ru-RU"/>
        </w:rPr>
        <w:t>тис. грн</w:t>
      </w:r>
    </w:p>
    <w:p w:rsidR="00DE184C" w:rsidRDefault="00DE184C" w:rsidP="00DE184C">
      <w:pPr>
        <w:tabs>
          <w:tab w:val="left" w:pos="916"/>
        </w:tabs>
        <w:jc w:val="center"/>
        <w:rPr>
          <w:b/>
          <w:bCs/>
          <w:sz w:val="28"/>
          <w:szCs w:val="28"/>
          <w:lang w:eastAsia="ru-RU"/>
        </w:rPr>
      </w:pPr>
      <w:r>
        <w:rPr>
          <w:noProof/>
          <w:lang w:val="ru-RU" w:eastAsia="ru-RU"/>
        </w:rPr>
        <w:drawing>
          <wp:inline distT="0" distB="0" distL="0" distR="0">
            <wp:extent cx="5969000" cy="4978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00" cy="4978400"/>
                    </a:xfrm>
                    <a:prstGeom prst="rect">
                      <a:avLst/>
                    </a:prstGeom>
                    <a:noFill/>
                    <a:ln>
                      <a:noFill/>
                    </a:ln>
                  </pic:spPr>
                </pic:pic>
              </a:graphicData>
            </a:graphic>
          </wp:inline>
        </w:drawing>
      </w:r>
    </w:p>
    <w:p w:rsidR="00DE184C" w:rsidRDefault="00DE184C" w:rsidP="00DE184C">
      <w:pPr>
        <w:tabs>
          <w:tab w:val="left" w:pos="916"/>
        </w:tabs>
        <w:ind w:firstLine="709"/>
        <w:jc w:val="center"/>
        <w:rPr>
          <w:b/>
          <w:bCs/>
          <w:sz w:val="28"/>
          <w:szCs w:val="28"/>
          <w:lang w:eastAsia="ru-RU"/>
        </w:rPr>
      </w:pPr>
    </w:p>
    <w:p w:rsidR="00DE184C" w:rsidRDefault="00DE184C" w:rsidP="00DE184C">
      <w:pPr>
        <w:tabs>
          <w:tab w:val="left" w:pos="916"/>
        </w:tabs>
        <w:ind w:firstLine="709"/>
        <w:jc w:val="center"/>
        <w:rPr>
          <w:b/>
          <w:bCs/>
          <w:sz w:val="28"/>
          <w:szCs w:val="28"/>
          <w:lang w:eastAsia="ru-RU"/>
        </w:rPr>
      </w:pPr>
      <w:r>
        <w:rPr>
          <w:b/>
          <w:bCs/>
          <w:sz w:val="28"/>
          <w:szCs w:val="28"/>
          <w:lang w:eastAsia="ru-RU"/>
        </w:rPr>
        <w:t>ЗАГАЛЬНИЙ ФОНД</w:t>
      </w:r>
    </w:p>
    <w:p w:rsidR="00DE184C" w:rsidRDefault="00DE184C" w:rsidP="00DE184C">
      <w:pPr>
        <w:tabs>
          <w:tab w:val="left" w:pos="916"/>
        </w:tabs>
        <w:ind w:firstLine="709"/>
        <w:jc w:val="both"/>
        <w:rPr>
          <w:sz w:val="28"/>
          <w:szCs w:val="28"/>
          <w:lang w:eastAsia="ru-RU"/>
        </w:rPr>
      </w:pPr>
      <w:r>
        <w:rPr>
          <w:sz w:val="28"/>
          <w:szCs w:val="28"/>
          <w:lang w:eastAsia="ru-RU"/>
        </w:rPr>
        <w:t xml:space="preserve">Відповідно до звіту, поданого управлінням Державної казначейської служби України  у м. </w:t>
      </w:r>
      <w:proofErr w:type="spellStart"/>
      <w:r>
        <w:rPr>
          <w:sz w:val="28"/>
          <w:szCs w:val="28"/>
          <w:lang w:eastAsia="ru-RU"/>
        </w:rPr>
        <w:t>Кременчуці</w:t>
      </w:r>
      <w:proofErr w:type="spellEnd"/>
      <w:r>
        <w:rPr>
          <w:sz w:val="28"/>
          <w:szCs w:val="28"/>
          <w:lang w:eastAsia="ru-RU"/>
        </w:rPr>
        <w:t xml:space="preserve"> Полтавської області,  за  2019 рік   місцевий  бюджет м. Кременчука виконано  на 85,2%, при уточненому річному плані загального фонду без урахування  офіційних трансфертів  1 760 145,5 тис. грн  фактично надійшло  1 500 026,3 тис. грн /-/ 260 119,2  тис. грн; по офіційних трансфертах  при уточненому плані  711 673,7 тис. грн фактично надійшло 665 139,8 тис. грн  /-/ 46 533,9  тис. грн  або 93,5%.</w:t>
      </w:r>
    </w:p>
    <w:p w:rsidR="00DE184C" w:rsidRDefault="00DE184C" w:rsidP="00DE184C">
      <w:pPr>
        <w:tabs>
          <w:tab w:val="left" w:pos="916"/>
        </w:tabs>
        <w:ind w:firstLine="709"/>
        <w:jc w:val="both"/>
        <w:rPr>
          <w:sz w:val="28"/>
          <w:szCs w:val="28"/>
          <w:lang w:eastAsia="ru-RU"/>
        </w:rPr>
      </w:pPr>
      <w:r>
        <w:rPr>
          <w:sz w:val="28"/>
          <w:szCs w:val="28"/>
          <w:lang w:eastAsia="ru-RU"/>
        </w:rPr>
        <w:t>В цілому уточнений план по загальному фонду з урахуванням офіційних  трансфертів  виконано на  87,6%, при  плані 2 471 819,2 тис. грн фактично отримано 2 165 166,1 тис. грн  /-/ 306 653,1 тис. грн.</w:t>
      </w:r>
    </w:p>
    <w:p w:rsidR="00DE184C" w:rsidRDefault="00DE184C" w:rsidP="00DE184C">
      <w:pPr>
        <w:tabs>
          <w:tab w:val="left" w:pos="916"/>
        </w:tabs>
        <w:ind w:firstLine="709"/>
        <w:jc w:val="both"/>
        <w:rPr>
          <w:rFonts w:eastAsia="Arial11"/>
          <w:sz w:val="28"/>
          <w:szCs w:val="28"/>
          <w:lang w:eastAsia="ru-RU" w:bidi="hi-IN"/>
        </w:rPr>
      </w:pPr>
      <w:r>
        <w:rPr>
          <w:rFonts w:eastAsia="Arial11"/>
          <w:sz w:val="28"/>
          <w:szCs w:val="28"/>
          <w:lang w:eastAsia="ru-RU" w:bidi="hi-IN"/>
        </w:rPr>
        <w:t>Відповідно до ст.78 Бюджетного кодексу України фінансові органи здійснюють прогнозування та аналіз доходів відповідного бюджету за участю органів, що контролюють справляння надходжень до бюджету.</w:t>
      </w:r>
    </w:p>
    <w:p w:rsidR="00DE184C" w:rsidRDefault="00DE184C" w:rsidP="00DE184C">
      <w:pPr>
        <w:tabs>
          <w:tab w:val="left" w:pos="916"/>
        </w:tabs>
        <w:ind w:firstLine="709"/>
        <w:jc w:val="both"/>
        <w:rPr>
          <w:rFonts w:eastAsia="Arial11"/>
          <w:sz w:val="28"/>
          <w:szCs w:val="28"/>
          <w:lang w:eastAsia="ru-RU" w:bidi="hi-IN"/>
        </w:rPr>
      </w:pPr>
      <w:r>
        <w:rPr>
          <w:rFonts w:eastAsia="Arial11"/>
          <w:sz w:val="28"/>
          <w:szCs w:val="28"/>
          <w:lang w:eastAsia="ru-RU" w:bidi="hi-IN"/>
        </w:rPr>
        <w:t xml:space="preserve">Процес формування  місцевого бюджету на 2019 рік було розпочато в листопаді 2018 року, оскільки його необхідно своєчасно оприлюднити та </w:t>
      </w:r>
      <w:r>
        <w:rPr>
          <w:rFonts w:eastAsia="Arial11"/>
          <w:sz w:val="28"/>
          <w:szCs w:val="28"/>
          <w:lang w:eastAsia="ru-RU" w:bidi="hi-IN"/>
        </w:rPr>
        <w:lastRenderedPageBreak/>
        <w:t xml:space="preserve">відповідно до Бюджетного кодексу України затвердити до 25 грудня. Для розрахунку джерел доходів, за основу взяті фактичні надходження за 10 місяців та очікувані показники за 2018 рік, а також динаміка надходжень за попередні два роки. </w:t>
      </w:r>
    </w:p>
    <w:p w:rsidR="00DE184C" w:rsidRDefault="00DE184C" w:rsidP="00DE184C">
      <w:pPr>
        <w:tabs>
          <w:tab w:val="left" w:pos="916"/>
        </w:tabs>
        <w:ind w:firstLine="709"/>
        <w:jc w:val="both"/>
        <w:rPr>
          <w:rFonts w:eastAsia="Arial11"/>
          <w:sz w:val="28"/>
          <w:szCs w:val="28"/>
          <w:lang w:eastAsia="ru-RU" w:bidi="hi-IN"/>
        </w:rPr>
      </w:pPr>
      <w:r>
        <w:rPr>
          <w:rFonts w:eastAsia="Arial11"/>
          <w:sz w:val="28"/>
          <w:szCs w:val="28"/>
          <w:lang w:eastAsia="ru-RU" w:bidi="hi-IN"/>
        </w:rPr>
        <w:t>Передумовою і економічними орієнтирами для формування бюджетної політики на 2019 рік, були прогнози основних показників економічного і соціального розвитку міста Кременчука, які передбачені Програмою економічного і соціального розвитку міста Кременчука на 2019 рік.</w:t>
      </w:r>
    </w:p>
    <w:p w:rsidR="00DE184C" w:rsidRPr="00DE184C" w:rsidRDefault="00DE184C" w:rsidP="00DE184C">
      <w:pPr>
        <w:tabs>
          <w:tab w:val="left" w:pos="916"/>
        </w:tabs>
        <w:ind w:firstLine="7513"/>
        <w:jc w:val="both"/>
        <w:rPr>
          <w:sz w:val="28"/>
          <w:szCs w:val="28"/>
          <w:lang w:eastAsia="ru-RU"/>
        </w:rPr>
      </w:pPr>
    </w:p>
    <w:p w:rsidR="00DE184C" w:rsidRDefault="00DE184C" w:rsidP="00DE184C">
      <w:pPr>
        <w:tabs>
          <w:tab w:val="left" w:pos="916"/>
        </w:tabs>
        <w:ind w:firstLine="7513"/>
        <w:jc w:val="both"/>
        <w:rPr>
          <w:sz w:val="28"/>
          <w:szCs w:val="28"/>
          <w:lang w:val="ru-RU" w:eastAsia="ru-RU"/>
        </w:rPr>
      </w:pPr>
      <w:r>
        <w:rPr>
          <w:sz w:val="28"/>
          <w:szCs w:val="28"/>
          <w:lang w:val="ru-RU" w:eastAsia="ru-RU"/>
        </w:rPr>
        <w:t>тис</w:t>
      </w:r>
      <w:proofErr w:type="gramStart"/>
      <w:r>
        <w:rPr>
          <w:sz w:val="28"/>
          <w:szCs w:val="28"/>
          <w:lang w:val="ru-RU" w:eastAsia="ru-RU"/>
        </w:rPr>
        <w:t>.</w:t>
      </w:r>
      <w:proofErr w:type="gramEnd"/>
      <w:r>
        <w:rPr>
          <w:sz w:val="28"/>
          <w:szCs w:val="28"/>
          <w:lang w:val="ru-RU" w:eastAsia="ru-RU"/>
        </w:rPr>
        <w:t xml:space="preserve"> </w:t>
      </w:r>
      <w:proofErr w:type="spellStart"/>
      <w:proofErr w:type="gramStart"/>
      <w:r>
        <w:rPr>
          <w:sz w:val="28"/>
          <w:szCs w:val="28"/>
          <w:lang w:val="ru-RU" w:eastAsia="ru-RU"/>
        </w:rPr>
        <w:t>г</w:t>
      </w:r>
      <w:proofErr w:type="gramEnd"/>
      <w:r>
        <w:rPr>
          <w:sz w:val="28"/>
          <w:szCs w:val="28"/>
          <w:lang w:val="ru-RU" w:eastAsia="ru-RU"/>
        </w:rPr>
        <w:t>рн</w:t>
      </w:r>
      <w:proofErr w:type="spellEnd"/>
    </w:p>
    <w:p w:rsidR="00DE184C" w:rsidRDefault="00DE184C" w:rsidP="00DE184C">
      <w:pPr>
        <w:tabs>
          <w:tab w:val="left" w:pos="916"/>
        </w:tabs>
        <w:jc w:val="both"/>
        <w:rPr>
          <w:sz w:val="28"/>
          <w:szCs w:val="28"/>
          <w:lang w:val="ru-RU" w:eastAsia="ru-RU"/>
        </w:rPr>
      </w:pPr>
      <w:r>
        <w:rPr>
          <w:noProof/>
          <w:lang w:val="ru-RU" w:eastAsia="ru-RU"/>
        </w:rPr>
        <w:drawing>
          <wp:inline distT="0" distB="0" distL="0" distR="0">
            <wp:extent cx="6045200" cy="57658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45200" cy="5765800"/>
                    </a:xfrm>
                    <a:prstGeom prst="rect">
                      <a:avLst/>
                    </a:prstGeom>
                    <a:noFill/>
                    <a:ln>
                      <a:noFill/>
                    </a:ln>
                  </pic:spPr>
                </pic:pic>
              </a:graphicData>
            </a:graphic>
          </wp:inline>
        </w:drawing>
      </w:r>
    </w:p>
    <w:p w:rsidR="00DE184C" w:rsidRDefault="00DE184C" w:rsidP="00DE184C">
      <w:pPr>
        <w:tabs>
          <w:tab w:val="left" w:pos="916"/>
          <w:tab w:val="left" w:pos="2895"/>
          <w:tab w:val="left" w:pos="5655"/>
          <w:tab w:val="left" w:pos="8460"/>
        </w:tabs>
        <w:ind w:firstLine="709"/>
        <w:jc w:val="both"/>
        <w:rPr>
          <w:sz w:val="28"/>
          <w:szCs w:val="28"/>
          <w:lang w:eastAsia="ru-RU"/>
        </w:rPr>
      </w:pPr>
    </w:p>
    <w:p w:rsidR="00DE184C" w:rsidRDefault="00DE184C" w:rsidP="00DE184C">
      <w:pPr>
        <w:tabs>
          <w:tab w:val="left" w:pos="916"/>
          <w:tab w:val="left" w:pos="2895"/>
          <w:tab w:val="left" w:pos="5655"/>
          <w:tab w:val="left" w:pos="8460"/>
        </w:tabs>
        <w:ind w:firstLine="709"/>
        <w:jc w:val="both"/>
        <w:rPr>
          <w:sz w:val="28"/>
          <w:szCs w:val="28"/>
          <w:lang w:eastAsia="ru-RU"/>
        </w:rPr>
      </w:pPr>
      <w:r>
        <w:rPr>
          <w:sz w:val="28"/>
          <w:szCs w:val="28"/>
          <w:lang w:eastAsia="ru-RU"/>
        </w:rPr>
        <w:t>Основними джерелами доходної частини  загального фонду міс</w:t>
      </w:r>
      <w:proofErr w:type="spellStart"/>
      <w:r>
        <w:rPr>
          <w:sz w:val="28"/>
          <w:szCs w:val="28"/>
          <w:lang w:val="ru-RU" w:eastAsia="ru-RU"/>
        </w:rPr>
        <w:t>цев</w:t>
      </w:r>
      <w:proofErr w:type="spellEnd"/>
      <w:r>
        <w:rPr>
          <w:sz w:val="28"/>
          <w:szCs w:val="28"/>
          <w:lang w:eastAsia="ru-RU"/>
        </w:rPr>
        <w:t>ого бюджету в 2019 році були чотири податки, питома вага яких склала  97,3% в доходній частині загального фонду (1 500 026,3 тис. грн):</w:t>
      </w:r>
    </w:p>
    <w:p w:rsidR="00DE184C" w:rsidRDefault="00DE184C" w:rsidP="00DE184C">
      <w:pPr>
        <w:tabs>
          <w:tab w:val="left" w:pos="916"/>
          <w:tab w:val="left" w:pos="2895"/>
          <w:tab w:val="left" w:pos="5655"/>
          <w:tab w:val="left" w:pos="8460"/>
        </w:tabs>
        <w:ind w:firstLine="709"/>
        <w:jc w:val="both"/>
        <w:rPr>
          <w:color w:val="FF0000"/>
          <w:sz w:val="28"/>
          <w:szCs w:val="28"/>
          <w:lang w:eastAsia="ru-RU"/>
        </w:rPr>
      </w:pP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8"/>
        <w:gridCol w:w="2576"/>
        <w:gridCol w:w="1623"/>
      </w:tblGrid>
      <w:tr w:rsidR="00DE184C" w:rsidTr="00DE184C">
        <w:trPr>
          <w:trHeight w:val="666"/>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jc w:val="center"/>
              <w:rPr>
                <w:rFonts w:eastAsia="Calibri"/>
                <w:b/>
                <w:lang w:val="ru-RU" w:eastAsia="ru-RU"/>
              </w:rPr>
            </w:pPr>
            <w:r>
              <w:rPr>
                <w:rFonts w:eastAsia="Calibri"/>
                <w:b/>
                <w:lang w:val="ru-RU" w:eastAsia="ru-RU"/>
              </w:rPr>
              <w:lastRenderedPageBreak/>
              <w:t>Вид платежу</w:t>
            </w:r>
          </w:p>
        </w:tc>
        <w:tc>
          <w:tcPr>
            <w:tcW w:w="2576" w:type="dxa"/>
            <w:tcBorders>
              <w:top w:val="single" w:sz="4" w:space="0" w:color="auto"/>
              <w:left w:val="single" w:sz="4" w:space="0" w:color="auto"/>
              <w:bottom w:val="single" w:sz="4" w:space="0" w:color="auto"/>
              <w:right w:val="single" w:sz="4" w:space="0" w:color="auto"/>
            </w:tcBorders>
            <w:hideMark/>
          </w:tcPr>
          <w:p w:rsidR="00DE184C" w:rsidRDefault="00DE184C">
            <w:pPr>
              <w:tabs>
                <w:tab w:val="left" w:pos="916"/>
              </w:tabs>
              <w:jc w:val="center"/>
              <w:rPr>
                <w:rFonts w:eastAsia="Calibri"/>
                <w:b/>
                <w:lang w:eastAsia="ru-RU"/>
              </w:rPr>
            </w:pPr>
            <w:r>
              <w:rPr>
                <w:rFonts w:eastAsia="Calibri"/>
                <w:b/>
                <w:lang w:eastAsia="ru-RU"/>
              </w:rPr>
              <w:t>Фактичні надходження за звітний період (</w:t>
            </w:r>
            <w:proofErr w:type="spellStart"/>
            <w:r>
              <w:rPr>
                <w:rFonts w:eastAsia="Calibri"/>
                <w:b/>
                <w:lang w:eastAsia="ru-RU"/>
              </w:rPr>
              <w:t>тис.грн</w:t>
            </w:r>
            <w:proofErr w:type="spellEnd"/>
            <w:r>
              <w:rPr>
                <w:rFonts w:eastAsia="Calibri"/>
                <w:b/>
                <w:lang w:eastAsia="ru-RU"/>
              </w:rPr>
              <w:t>)</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jc w:val="center"/>
              <w:rPr>
                <w:rFonts w:eastAsia="Calibri"/>
                <w:b/>
                <w:lang w:eastAsia="ru-RU"/>
              </w:rPr>
            </w:pPr>
            <w:r>
              <w:rPr>
                <w:rFonts w:eastAsia="Calibri"/>
                <w:b/>
                <w:lang w:eastAsia="ru-RU"/>
              </w:rPr>
              <w:t>Питома вага,%</w:t>
            </w:r>
          </w:p>
        </w:tc>
      </w:tr>
      <w:tr w:rsidR="00DE184C" w:rsidTr="00DE184C">
        <w:trPr>
          <w:trHeight w:val="698"/>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rPr>
                <w:rFonts w:eastAsia="Calibri"/>
                <w:lang w:eastAsia="ru-RU"/>
              </w:rPr>
            </w:pPr>
            <w:r>
              <w:rPr>
                <w:rFonts w:eastAsia="Calibri"/>
                <w:lang w:eastAsia="ru-RU"/>
              </w:rPr>
              <w:t>податок та збір на доходи фізичних осіб (11010000)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1 033 228,453</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68,9</w:t>
            </w:r>
          </w:p>
        </w:tc>
      </w:tr>
      <w:tr w:rsidR="00DE184C" w:rsidTr="00DE184C">
        <w:trPr>
          <w:trHeight w:val="698"/>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0"/>
                <w:tab w:val="left" w:pos="916"/>
                <w:tab w:val="left" w:pos="8907"/>
              </w:tabs>
              <w:rPr>
                <w:rFonts w:eastAsia="Calibri"/>
                <w:lang w:eastAsia="ru-RU"/>
              </w:rPr>
            </w:pPr>
            <w:r>
              <w:rPr>
                <w:rFonts w:eastAsia="Calibri"/>
                <w:lang w:eastAsia="ru-RU"/>
              </w:rPr>
              <w:t>податок на майно в частині</w:t>
            </w:r>
          </w:p>
          <w:p w:rsidR="00DE184C" w:rsidRDefault="00DE184C">
            <w:pPr>
              <w:tabs>
                <w:tab w:val="left" w:pos="916"/>
              </w:tabs>
              <w:rPr>
                <w:rFonts w:eastAsia="Calibri"/>
                <w:lang w:eastAsia="ru-RU"/>
              </w:rPr>
            </w:pPr>
            <w:r>
              <w:rPr>
                <w:rFonts w:eastAsia="Calibri"/>
                <w:lang w:eastAsia="ru-RU"/>
              </w:rPr>
              <w:t>земельного податку (18010500-18010900)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val="ru-RU" w:eastAsia="ru-RU"/>
              </w:rPr>
              <w:t>179 873,587</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12,0</w:t>
            </w:r>
          </w:p>
        </w:tc>
      </w:tr>
      <w:tr w:rsidR="00DE184C" w:rsidTr="00DE184C">
        <w:trPr>
          <w:trHeight w:val="444"/>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rPr>
                <w:rFonts w:eastAsia="Calibri"/>
                <w:lang w:eastAsia="ru-RU"/>
              </w:rPr>
            </w:pPr>
            <w:r>
              <w:rPr>
                <w:rFonts w:eastAsia="Calibri"/>
                <w:lang w:eastAsia="ru-RU"/>
              </w:rPr>
              <w:t>єдиний податок  (18050000)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val="ru-RU" w:eastAsia="ru-RU"/>
              </w:rPr>
              <w:t>139 416,147</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9,3</w:t>
            </w:r>
          </w:p>
        </w:tc>
      </w:tr>
      <w:tr w:rsidR="00DE184C" w:rsidTr="00DE184C">
        <w:trPr>
          <w:trHeight w:val="566"/>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0"/>
                <w:tab w:val="left" w:pos="916"/>
                <w:tab w:val="left" w:pos="8931"/>
              </w:tabs>
              <w:rPr>
                <w:rFonts w:eastAsia="Calibri"/>
                <w:lang w:eastAsia="ru-RU"/>
              </w:rPr>
            </w:pPr>
            <w:r>
              <w:rPr>
                <w:rFonts w:eastAsia="Calibri"/>
                <w:lang w:eastAsia="ru-RU"/>
              </w:rPr>
              <w:t>акцизний податок</w:t>
            </w:r>
          </w:p>
          <w:p w:rsidR="00DE184C" w:rsidRDefault="00DE184C">
            <w:pPr>
              <w:tabs>
                <w:tab w:val="left" w:pos="916"/>
              </w:tabs>
              <w:rPr>
                <w:rFonts w:eastAsia="Calibri"/>
                <w:lang w:eastAsia="ru-RU"/>
              </w:rPr>
            </w:pPr>
            <w:r>
              <w:rPr>
                <w:rFonts w:eastAsia="Calibri"/>
                <w:lang w:eastAsia="ru-RU"/>
              </w:rPr>
              <w:t>(14040000;14021900;14031900)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val="ru-RU" w:eastAsia="ru-RU"/>
              </w:rPr>
              <w:t>106 685,785</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7,1</w:t>
            </w:r>
          </w:p>
        </w:tc>
      </w:tr>
      <w:tr w:rsidR="00DE184C" w:rsidTr="00DE184C">
        <w:trPr>
          <w:trHeight w:val="412"/>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rPr>
                <w:rFonts w:eastAsia="Calibri"/>
                <w:lang w:eastAsia="ru-RU"/>
              </w:rPr>
            </w:pPr>
            <w:r>
              <w:rPr>
                <w:rFonts w:eastAsia="Calibri"/>
                <w:b/>
                <w:bCs/>
                <w:iCs/>
                <w:lang w:eastAsia="ru-RU"/>
              </w:rPr>
              <w:t>Разом:</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b/>
                <w:lang w:eastAsia="ru-RU"/>
              </w:rPr>
            </w:pPr>
            <w:r>
              <w:rPr>
                <w:rFonts w:eastAsia="Calibri"/>
                <w:b/>
                <w:lang w:eastAsia="ru-RU"/>
              </w:rPr>
              <w:t>1 459 203,972</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b/>
                <w:lang w:eastAsia="ru-RU"/>
              </w:rPr>
            </w:pPr>
            <w:r>
              <w:rPr>
                <w:rFonts w:eastAsia="Calibri"/>
                <w:b/>
                <w:lang w:eastAsia="ru-RU"/>
              </w:rPr>
              <w:t>97,3</w:t>
            </w:r>
          </w:p>
        </w:tc>
      </w:tr>
    </w:tbl>
    <w:p w:rsidR="00DE184C" w:rsidRDefault="00DE184C"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t>Питома вага фактичних податкових надходжень в доходній частині загального фонду місцевого бюджету склала 98,0 %, або 1 470 286,2 тис. грн, неподаткових –  2,0%, або 29 740,1  тис. грн.</w:t>
      </w:r>
    </w:p>
    <w:p w:rsidR="00DE184C" w:rsidRDefault="00DE184C" w:rsidP="00DE184C">
      <w:pPr>
        <w:tabs>
          <w:tab w:val="left" w:pos="916"/>
        </w:tabs>
        <w:ind w:firstLine="709"/>
        <w:jc w:val="both"/>
        <w:rPr>
          <w:sz w:val="28"/>
          <w:szCs w:val="28"/>
          <w:lang w:eastAsia="ru-RU"/>
        </w:rPr>
      </w:pPr>
      <w:r>
        <w:rPr>
          <w:sz w:val="28"/>
          <w:szCs w:val="28"/>
          <w:lang w:eastAsia="ru-RU"/>
        </w:rPr>
        <w:t>За 2019 рік  виконання плану по  податкових надходженнях  забезпечено  на 84,9 %, неподаткових  – на 105,9%.</w:t>
      </w:r>
    </w:p>
    <w:p w:rsidR="00DE184C" w:rsidRDefault="00DE184C"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t>За 2019 рік  фактично вилучено  коштів до державного бюджету (реверсна дотація) 86 978,0  тис. грн  при  такому ж плані.</w:t>
      </w:r>
    </w:p>
    <w:p w:rsidR="00DE184C" w:rsidRDefault="00DE184C" w:rsidP="00DE184C">
      <w:pPr>
        <w:tabs>
          <w:tab w:val="left" w:pos="916"/>
        </w:tabs>
        <w:ind w:firstLine="709"/>
        <w:jc w:val="both"/>
        <w:rPr>
          <w:sz w:val="28"/>
          <w:szCs w:val="28"/>
          <w:lang w:eastAsia="ru-RU"/>
        </w:rPr>
      </w:pPr>
    </w:p>
    <w:p w:rsidR="00DE184C" w:rsidRPr="00DE184C" w:rsidRDefault="00DE184C" w:rsidP="00DE184C">
      <w:pPr>
        <w:tabs>
          <w:tab w:val="left" w:pos="916"/>
        </w:tabs>
        <w:ind w:firstLine="7371"/>
        <w:jc w:val="both"/>
        <w:rPr>
          <w:sz w:val="28"/>
          <w:szCs w:val="28"/>
          <w:lang w:eastAsia="ru-RU"/>
        </w:rPr>
      </w:pPr>
      <w:r w:rsidRPr="00DE184C">
        <w:rPr>
          <w:sz w:val="28"/>
          <w:szCs w:val="28"/>
          <w:lang w:eastAsia="ru-RU"/>
        </w:rPr>
        <w:t>тис. грн</w:t>
      </w:r>
    </w:p>
    <w:p w:rsidR="00DE184C" w:rsidRDefault="00DE184C" w:rsidP="00DE184C">
      <w:pPr>
        <w:tabs>
          <w:tab w:val="left" w:pos="916"/>
        </w:tabs>
        <w:jc w:val="both"/>
        <w:rPr>
          <w:color w:val="FF0000"/>
          <w:sz w:val="28"/>
          <w:szCs w:val="28"/>
          <w:lang w:eastAsia="ru-RU"/>
        </w:rPr>
      </w:pPr>
      <w:r>
        <w:rPr>
          <w:noProof/>
          <w:lang w:val="ru-RU" w:eastAsia="ru-RU"/>
        </w:rPr>
        <w:drawing>
          <wp:inline distT="0" distB="0" distL="0" distR="0">
            <wp:extent cx="6007100" cy="4114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7100" cy="4114800"/>
                    </a:xfrm>
                    <a:prstGeom prst="rect">
                      <a:avLst/>
                    </a:prstGeom>
                    <a:noFill/>
                    <a:ln>
                      <a:noFill/>
                    </a:ln>
                  </pic:spPr>
                </pic:pic>
              </a:graphicData>
            </a:graphic>
          </wp:inline>
        </w:drawing>
      </w:r>
    </w:p>
    <w:p w:rsidR="00DE184C" w:rsidRDefault="00DE184C" w:rsidP="00DE184C">
      <w:pPr>
        <w:tabs>
          <w:tab w:val="left" w:pos="916"/>
        </w:tabs>
        <w:ind w:firstLine="709"/>
        <w:jc w:val="both"/>
        <w:rPr>
          <w:sz w:val="28"/>
          <w:szCs w:val="28"/>
          <w:lang w:eastAsia="ru-RU"/>
        </w:rPr>
      </w:pPr>
      <w:r>
        <w:rPr>
          <w:sz w:val="28"/>
          <w:szCs w:val="28"/>
          <w:lang w:eastAsia="ru-RU"/>
        </w:rPr>
        <w:lastRenderedPageBreak/>
        <w:t xml:space="preserve">За 2019 рік </w:t>
      </w:r>
      <w:proofErr w:type="spellStart"/>
      <w:r>
        <w:rPr>
          <w:b/>
          <w:sz w:val="28"/>
          <w:szCs w:val="28"/>
          <w:lang w:eastAsia="ru-RU"/>
        </w:rPr>
        <w:t>невиконано</w:t>
      </w:r>
      <w:proofErr w:type="spellEnd"/>
      <w:r>
        <w:rPr>
          <w:sz w:val="28"/>
          <w:szCs w:val="28"/>
          <w:lang w:eastAsia="ru-RU"/>
        </w:rPr>
        <w:t xml:space="preserve"> уточнені планові показники по двох джерелах доходної частини  місцевого бюджету:</w:t>
      </w:r>
    </w:p>
    <w:p w:rsidR="00DE184C" w:rsidRDefault="00DE184C" w:rsidP="00DE184C">
      <w:pPr>
        <w:numPr>
          <w:ilvl w:val="0"/>
          <w:numId w:val="1"/>
        </w:numPr>
        <w:tabs>
          <w:tab w:val="left" w:pos="916"/>
          <w:tab w:val="left" w:pos="1134"/>
        </w:tabs>
        <w:autoSpaceDE w:val="0"/>
        <w:autoSpaceDN w:val="0"/>
        <w:adjustRightInd w:val="0"/>
        <w:spacing w:after="120"/>
        <w:ind w:left="0" w:firstLine="709"/>
        <w:contextualSpacing/>
        <w:jc w:val="both"/>
        <w:rPr>
          <w:sz w:val="28"/>
          <w:szCs w:val="28"/>
          <w:lang w:eastAsia="ru-RU"/>
        </w:rPr>
      </w:pPr>
      <w:r>
        <w:rPr>
          <w:sz w:val="28"/>
          <w:szCs w:val="28"/>
          <w:lang w:eastAsia="ru-RU"/>
        </w:rPr>
        <w:t xml:space="preserve">податку на доходи фізичних осіб, при плані 1 291 464,5 тис. грн фактично надійшло 1 033 228,4 </w:t>
      </w:r>
      <w:proofErr w:type="spellStart"/>
      <w:r>
        <w:rPr>
          <w:sz w:val="28"/>
          <w:szCs w:val="28"/>
          <w:lang w:eastAsia="ru-RU"/>
        </w:rPr>
        <w:t>тис.грн</w:t>
      </w:r>
      <w:proofErr w:type="spellEnd"/>
      <w:r>
        <w:rPr>
          <w:sz w:val="28"/>
          <w:szCs w:val="28"/>
          <w:lang w:eastAsia="ru-RU"/>
        </w:rPr>
        <w:t xml:space="preserve"> або 80,0% /-/ 258 236,1 тис. грн.</w:t>
      </w:r>
    </w:p>
    <w:p w:rsidR="00DE184C" w:rsidRDefault="00DE184C" w:rsidP="00DE184C">
      <w:pPr>
        <w:tabs>
          <w:tab w:val="left" w:pos="916"/>
        </w:tabs>
        <w:autoSpaceDE w:val="0"/>
        <w:autoSpaceDN w:val="0"/>
        <w:adjustRightInd w:val="0"/>
        <w:spacing w:after="120"/>
        <w:ind w:firstLine="709"/>
        <w:jc w:val="both"/>
        <w:rPr>
          <w:sz w:val="28"/>
          <w:szCs w:val="28"/>
          <w:lang w:eastAsia="ru-RU"/>
        </w:rPr>
      </w:pPr>
      <w:r>
        <w:rPr>
          <w:sz w:val="28"/>
          <w:szCs w:val="28"/>
          <w:lang w:eastAsia="ru-RU"/>
        </w:rPr>
        <w:t xml:space="preserve">За 2019 рік  в  порівнянні з 2018 роком надходження по </w:t>
      </w:r>
      <w:proofErr w:type="spellStart"/>
      <w:r>
        <w:rPr>
          <w:sz w:val="28"/>
          <w:szCs w:val="28"/>
          <w:lang w:eastAsia="ru-RU"/>
        </w:rPr>
        <w:t>пдфо</w:t>
      </w:r>
      <w:proofErr w:type="spellEnd"/>
      <w:r>
        <w:rPr>
          <w:sz w:val="28"/>
          <w:szCs w:val="28"/>
          <w:lang w:eastAsia="ru-RU"/>
        </w:rPr>
        <w:t xml:space="preserve"> зросли на 14,1% або /+/ 127 906,2 тис. грн.</w:t>
      </w:r>
    </w:p>
    <w:p w:rsidR="00DE184C" w:rsidRDefault="00DE184C" w:rsidP="00DE184C">
      <w:pPr>
        <w:tabs>
          <w:tab w:val="left" w:pos="916"/>
        </w:tabs>
        <w:autoSpaceDE w:val="0"/>
        <w:autoSpaceDN w:val="0"/>
        <w:adjustRightInd w:val="0"/>
        <w:spacing w:after="120"/>
        <w:ind w:firstLine="709"/>
        <w:contextualSpacing/>
        <w:jc w:val="both"/>
        <w:rPr>
          <w:sz w:val="28"/>
          <w:szCs w:val="28"/>
          <w:lang w:eastAsia="ru-RU"/>
        </w:rPr>
      </w:pPr>
      <w:r>
        <w:rPr>
          <w:sz w:val="28"/>
          <w:szCs w:val="28"/>
          <w:lang w:eastAsia="ru-RU"/>
        </w:rPr>
        <w:t xml:space="preserve">На 2019 рік заплановане зростання до фактичних надходжень </w:t>
      </w:r>
      <w:proofErr w:type="spellStart"/>
      <w:r>
        <w:rPr>
          <w:sz w:val="28"/>
          <w:szCs w:val="28"/>
          <w:lang w:eastAsia="ru-RU"/>
        </w:rPr>
        <w:t>пдфо</w:t>
      </w:r>
      <w:proofErr w:type="spellEnd"/>
      <w:r>
        <w:rPr>
          <w:sz w:val="28"/>
          <w:szCs w:val="28"/>
          <w:lang w:eastAsia="ru-RU"/>
        </w:rPr>
        <w:t xml:space="preserve"> в 2018 році на 42,7%.</w:t>
      </w:r>
    </w:p>
    <w:p w:rsidR="00DE184C" w:rsidRDefault="00DE184C" w:rsidP="00DE184C">
      <w:pPr>
        <w:tabs>
          <w:tab w:val="left" w:pos="916"/>
        </w:tabs>
        <w:autoSpaceDE w:val="0"/>
        <w:autoSpaceDN w:val="0"/>
        <w:adjustRightInd w:val="0"/>
        <w:spacing w:after="120"/>
        <w:ind w:firstLine="709"/>
        <w:jc w:val="both"/>
        <w:rPr>
          <w:rFonts w:eastAsia="Arial11"/>
          <w:sz w:val="28"/>
          <w:szCs w:val="28"/>
          <w:lang w:eastAsia="zh-CN" w:bidi="hi-IN"/>
        </w:rPr>
      </w:pPr>
      <w:r>
        <w:rPr>
          <w:sz w:val="28"/>
          <w:szCs w:val="28"/>
          <w:lang w:eastAsia="zh-CN"/>
        </w:rPr>
        <w:t>П</w:t>
      </w:r>
      <w:r>
        <w:rPr>
          <w:rFonts w:eastAsia="Arial11"/>
          <w:sz w:val="28"/>
          <w:szCs w:val="28"/>
          <w:lang w:eastAsia="zh-CN" w:bidi="hi-IN"/>
        </w:rPr>
        <w:t>ри прогнозуванні надходжень ПДФО до місцевого бюджету м. Кременчука на 2019 рік, враховано збільшення розміру мінімальної заробітної плати до рівня 4 173 грн  проти 3 723 грн  в 2018 році (+12,1%), п</w:t>
      </w:r>
      <w:r>
        <w:rPr>
          <w:bCs/>
          <w:sz w:val="28"/>
          <w:szCs w:val="28"/>
          <w:lang w:eastAsia="ru-RU"/>
        </w:rPr>
        <w:t xml:space="preserve">ідвищення з 1 січня 2019 року  </w:t>
      </w:r>
      <w:r>
        <w:rPr>
          <w:rFonts w:eastAsia="Calibri"/>
          <w:sz w:val="28"/>
          <w:szCs w:val="28"/>
          <w:lang w:eastAsia="ru-RU"/>
        </w:rPr>
        <w:t>посадового окладу працівника І тарифного розряду Єдиної тарифної сітки – 1 921 грн  проти 1 762 грн в 2018 році (+9,0%)</w:t>
      </w:r>
      <w:r>
        <w:rPr>
          <w:rFonts w:eastAsia="Arial11"/>
          <w:sz w:val="28"/>
          <w:szCs w:val="28"/>
          <w:lang w:eastAsia="zh-CN" w:bidi="hi-IN"/>
        </w:rPr>
        <w:t xml:space="preserve">. </w:t>
      </w:r>
    </w:p>
    <w:p w:rsidR="00DE184C" w:rsidRDefault="00DE184C" w:rsidP="00DE184C">
      <w:pPr>
        <w:tabs>
          <w:tab w:val="left" w:pos="916"/>
        </w:tabs>
        <w:autoSpaceDE w:val="0"/>
        <w:autoSpaceDN w:val="0"/>
        <w:adjustRightInd w:val="0"/>
        <w:spacing w:after="120"/>
        <w:ind w:firstLine="709"/>
        <w:contextualSpacing/>
        <w:jc w:val="both"/>
        <w:rPr>
          <w:sz w:val="28"/>
          <w:szCs w:val="28"/>
          <w:lang w:eastAsia="ru-RU"/>
        </w:rPr>
      </w:pPr>
      <w:r>
        <w:rPr>
          <w:sz w:val="28"/>
          <w:szCs w:val="28"/>
          <w:lang w:eastAsia="ru-RU"/>
        </w:rPr>
        <w:t xml:space="preserve">Зростання надходжень ПДФО: в 2016 році порівняно з 2015 роком склало 42,6%, в 2017 році порівняно з 2016 роком – 44,7%,  в 2018 році порівняно з 2017 роком – 32,8%. </w:t>
      </w:r>
    </w:p>
    <w:p w:rsidR="00DE184C" w:rsidRDefault="00DE184C" w:rsidP="00DE184C">
      <w:pPr>
        <w:tabs>
          <w:tab w:val="left" w:pos="916"/>
          <w:tab w:val="left" w:pos="8467"/>
        </w:tabs>
        <w:autoSpaceDE w:val="0"/>
        <w:autoSpaceDN w:val="0"/>
        <w:adjustRightInd w:val="0"/>
        <w:spacing w:after="120"/>
        <w:ind w:firstLine="7938"/>
        <w:contextualSpacing/>
        <w:jc w:val="both"/>
        <w:rPr>
          <w:sz w:val="28"/>
          <w:szCs w:val="28"/>
          <w:lang w:val="ru-RU" w:eastAsia="ru-RU"/>
        </w:rPr>
      </w:pPr>
      <w:r>
        <w:rPr>
          <w:sz w:val="28"/>
          <w:szCs w:val="28"/>
          <w:lang w:val="ru-RU" w:eastAsia="ru-RU"/>
        </w:rPr>
        <w:tab/>
        <w:t>тис</w:t>
      </w:r>
      <w:proofErr w:type="gramStart"/>
      <w:r>
        <w:rPr>
          <w:sz w:val="28"/>
          <w:szCs w:val="28"/>
          <w:lang w:val="ru-RU" w:eastAsia="ru-RU"/>
        </w:rPr>
        <w:t>.</w:t>
      </w:r>
      <w:proofErr w:type="gramEnd"/>
      <w:r>
        <w:rPr>
          <w:sz w:val="28"/>
          <w:szCs w:val="28"/>
          <w:lang w:val="ru-RU" w:eastAsia="ru-RU"/>
        </w:rPr>
        <w:t xml:space="preserve"> </w:t>
      </w:r>
      <w:proofErr w:type="spellStart"/>
      <w:proofErr w:type="gramStart"/>
      <w:r>
        <w:rPr>
          <w:sz w:val="28"/>
          <w:szCs w:val="28"/>
          <w:lang w:val="ru-RU" w:eastAsia="ru-RU"/>
        </w:rPr>
        <w:t>г</w:t>
      </w:r>
      <w:proofErr w:type="gramEnd"/>
      <w:r>
        <w:rPr>
          <w:sz w:val="28"/>
          <w:szCs w:val="28"/>
          <w:lang w:val="ru-RU" w:eastAsia="ru-RU"/>
        </w:rPr>
        <w:t>рн</w:t>
      </w:r>
      <w:proofErr w:type="spellEnd"/>
    </w:p>
    <w:p w:rsidR="00DE184C" w:rsidRDefault="00DE184C" w:rsidP="00DE184C">
      <w:pPr>
        <w:tabs>
          <w:tab w:val="left" w:pos="916"/>
        </w:tabs>
        <w:autoSpaceDE w:val="0"/>
        <w:autoSpaceDN w:val="0"/>
        <w:adjustRightInd w:val="0"/>
        <w:spacing w:after="120"/>
        <w:contextualSpacing/>
        <w:jc w:val="both"/>
        <w:rPr>
          <w:sz w:val="28"/>
          <w:szCs w:val="28"/>
          <w:lang w:val="ru-RU" w:eastAsia="ru-RU"/>
        </w:rPr>
      </w:pPr>
      <w:r>
        <w:rPr>
          <w:noProof/>
          <w:lang w:val="ru-RU" w:eastAsia="ru-RU"/>
        </w:rPr>
        <w:drawing>
          <wp:inline distT="0" distB="0" distL="0" distR="0">
            <wp:extent cx="6108700" cy="478790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8700" cy="4787900"/>
                    </a:xfrm>
                    <a:prstGeom prst="rect">
                      <a:avLst/>
                    </a:prstGeom>
                    <a:noFill/>
                    <a:ln>
                      <a:noFill/>
                    </a:ln>
                  </pic:spPr>
                </pic:pic>
              </a:graphicData>
            </a:graphic>
          </wp:inline>
        </w:drawing>
      </w:r>
    </w:p>
    <w:p w:rsidR="00DE184C" w:rsidRDefault="00DE184C" w:rsidP="00DE184C">
      <w:pPr>
        <w:tabs>
          <w:tab w:val="left" w:pos="916"/>
        </w:tabs>
        <w:autoSpaceDE w:val="0"/>
        <w:autoSpaceDN w:val="0"/>
        <w:adjustRightInd w:val="0"/>
        <w:spacing w:after="120"/>
        <w:ind w:firstLine="709"/>
        <w:contextualSpacing/>
        <w:jc w:val="both"/>
        <w:rPr>
          <w:sz w:val="28"/>
          <w:szCs w:val="28"/>
          <w:lang w:eastAsia="ru-RU"/>
        </w:rPr>
      </w:pPr>
    </w:p>
    <w:p w:rsidR="00DE184C" w:rsidRDefault="00DE184C" w:rsidP="00DE184C">
      <w:pPr>
        <w:tabs>
          <w:tab w:val="left" w:pos="916"/>
        </w:tabs>
        <w:autoSpaceDE w:val="0"/>
        <w:autoSpaceDN w:val="0"/>
        <w:adjustRightInd w:val="0"/>
        <w:spacing w:after="120"/>
        <w:ind w:firstLine="709"/>
        <w:contextualSpacing/>
        <w:jc w:val="both"/>
        <w:rPr>
          <w:sz w:val="28"/>
          <w:szCs w:val="28"/>
          <w:lang w:eastAsia="ru-RU"/>
        </w:rPr>
      </w:pPr>
      <w:r>
        <w:rPr>
          <w:sz w:val="28"/>
          <w:szCs w:val="28"/>
          <w:lang w:eastAsia="ru-RU"/>
        </w:rPr>
        <w:lastRenderedPageBreak/>
        <w:t xml:space="preserve">Кременчуцьким управлінням ГУ ДПС у Полтавській області надано інформацію про суми збільшення/зменшення надходжень по ПДФО у 2019 році в порівнянні з минулим роком лише по підприємствах, якими надано дозволи на оприлюднення інформації щодо сплачених ними сум до  бюджету, а саме: </w:t>
      </w:r>
    </w:p>
    <w:tbl>
      <w:tblPr>
        <w:tblW w:w="9495" w:type="dxa"/>
        <w:tblInd w:w="5" w:type="dxa"/>
        <w:tblLayout w:type="fixed"/>
        <w:tblCellMar>
          <w:left w:w="0" w:type="dxa"/>
          <w:right w:w="0" w:type="dxa"/>
        </w:tblCellMar>
        <w:tblLook w:val="04A0" w:firstRow="1" w:lastRow="0" w:firstColumn="1" w:lastColumn="0" w:noHBand="0" w:noVBand="1"/>
      </w:tblPr>
      <w:tblGrid>
        <w:gridCol w:w="925"/>
        <w:gridCol w:w="4887"/>
        <w:gridCol w:w="2407"/>
        <w:gridCol w:w="1276"/>
      </w:tblGrid>
      <w:tr w:rsidR="00DE184C" w:rsidRPr="00DE184C" w:rsidTr="00072E4A">
        <w:trPr>
          <w:trHeight w:val="725"/>
        </w:trPr>
        <w:tc>
          <w:tcPr>
            <w:tcW w:w="925" w:type="dxa"/>
            <w:tcBorders>
              <w:top w:val="single" w:sz="4" w:space="0" w:color="000001"/>
              <w:left w:val="single" w:sz="4" w:space="0" w:color="000001"/>
              <w:bottom w:val="single" w:sz="4" w:space="0" w:color="000001"/>
              <w:right w:val="single" w:sz="4" w:space="0" w:color="000001"/>
            </w:tcBorders>
            <w:vAlign w:val="center"/>
            <w:hideMark/>
          </w:tcPr>
          <w:p w:rsidR="00DE184C" w:rsidRPr="00DE184C" w:rsidRDefault="00DE184C" w:rsidP="00072E4A">
            <w:pPr>
              <w:tabs>
                <w:tab w:val="left" w:pos="916"/>
              </w:tabs>
              <w:autoSpaceDE w:val="0"/>
              <w:autoSpaceDN w:val="0"/>
              <w:adjustRightInd w:val="0"/>
              <w:jc w:val="center"/>
              <w:rPr>
                <w:b/>
                <w:kern w:val="2"/>
                <w:lang w:eastAsia="ru-RU"/>
              </w:rPr>
            </w:pPr>
            <w:r>
              <w:rPr>
                <w:sz w:val="28"/>
                <w:szCs w:val="28"/>
                <w:lang w:eastAsia="ru-RU"/>
              </w:rPr>
              <w:t xml:space="preserve"> </w:t>
            </w:r>
            <w:r w:rsidRPr="00DE184C">
              <w:rPr>
                <w:b/>
                <w:kern w:val="2"/>
                <w:lang w:eastAsia="ru-RU"/>
              </w:rPr>
              <w:t>№ п/п</w:t>
            </w:r>
          </w:p>
        </w:tc>
        <w:tc>
          <w:tcPr>
            <w:tcW w:w="4887" w:type="dxa"/>
            <w:tcBorders>
              <w:top w:val="single" w:sz="4" w:space="0" w:color="000001"/>
              <w:left w:val="nil"/>
              <w:bottom w:val="single" w:sz="4" w:space="0" w:color="000001"/>
              <w:right w:val="single" w:sz="4" w:space="0" w:color="000001"/>
            </w:tcBorders>
            <w:vAlign w:val="center"/>
            <w:hideMark/>
          </w:tcPr>
          <w:p w:rsidR="00DE184C" w:rsidRPr="00DE184C" w:rsidRDefault="00DE184C" w:rsidP="00072E4A">
            <w:pPr>
              <w:tabs>
                <w:tab w:val="left" w:pos="916"/>
              </w:tabs>
              <w:autoSpaceDE w:val="0"/>
              <w:autoSpaceDN w:val="0"/>
              <w:adjustRightInd w:val="0"/>
              <w:ind w:firstLine="709"/>
              <w:jc w:val="center"/>
              <w:rPr>
                <w:b/>
                <w:kern w:val="2"/>
                <w:lang w:eastAsia="ru-RU"/>
              </w:rPr>
            </w:pPr>
            <w:r w:rsidRPr="00DE184C">
              <w:rPr>
                <w:b/>
                <w:kern w:val="2"/>
                <w:lang w:eastAsia="ru-RU"/>
              </w:rPr>
              <w:t>Назва підприємства</w:t>
            </w:r>
          </w:p>
        </w:tc>
        <w:tc>
          <w:tcPr>
            <w:tcW w:w="2407" w:type="dxa"/>
            <w:tcBorders>
              <w:top w:val="single" w:sz="4" w:space="0" w:color="000001"/>
              <w:left w:val="nil"/>
              <w:bottom w:val="single" w:sz="4" w:space="0" w:color="000001"/>
              <w:right w:val="single" w:sz="4" w:space="0" w:color="000001"/>
            </w:tcBorders>
            <w:vAlign w:val="center"/>
            <w:hideMark/>
          </w:tcPr>
          <w:p w:rsidR="00DE184C" w:rsidRPr="00DE184C" w:rsidRDefault="00DE184C" w:rsidP="00072E4A">
            <w:pPr>
              <w:tabs>
                <w:tab w:val="left" w:pos="916"/>
              </w:tabs>
              <w:autoSpaceDE w:val="0"/>
              <w:autoSpaceDN w:val="0"/>
              <w:adjustRightInd w:val="0"/>
              <w:jc w:val="center"/>
              <w:rPr>
                <w:b/>
                <w:kern w:val="2"/>
                <w:lang w:eastAsia="ru-RU"/>
              </w:rPr>
            </w:pPr>
            <w:r w:rsidRPr="00DE184C">
              <w:rPr>
                <w:b/>
                <w:kern w:val="2"/>
                <w:lang w:eastAsia="ru-RU"/>
              </w:rPr>
              <w:t>Контингент</w:t>
            </w:r>
          </w:p>
          <w:p w:rsidR="00DE184C" w:rsidRPr="00DE184C" w:rsidRDefault="00DE184C" w:rsidP="00072E4A">
            <w:pPr>
              <w:tabs>
                <w:tab w:val="left" w:pos="916"/>
              </w:tabs>
              <w:autoSpaceDE w:val="0"/>
              <w:autoSpaceDN w:val="0"/>
              <w:adjustRightInd w:val="0"/>
              <w:jc w:val="center"/>
              <w:rPr>
                <w:b/>
                <w:kern w:val="2"/>
                <w:lang w:eastAsia="ru-RU"/>
              </w:rPr>
            </w:pPr>
            <w:r w:rsidRPr="00DE184C">
              <w:rPr>
                <w:b/>
                <w:kern w:val="2"/>
                <w:lang w:eastAsia="ru-RU"/>
              </w:rPr>
              <w:t>сума (+/-) тис. грн</w:t>
            </w:r>
          </w:p>
        </w:tc>
        <w:tc>
          <w:tcPr>
            <w:tcW w:w="1276" w:type="dxa"/>
            <w:tcBorders>
              <w:top w:val="single" w:sz="4" w:space="0" w:color="000001"/>
              <w:left w:val="nil"/>
              <w:bottom w:val="single" w:sz="4" w:space="0" w:color="000001"/>
              <w:right w:val="single" w:sz="4" w:space="0" w:color="000001"/>
            </w:tcBorders>
            <w:vAlign w:val="center"/>
            <w:hideMark/>
          </w:tcPr>
          <w:p w:rsidR="00DE184C" w:rsidRPr="00DE184C" w:rsidRDefault="00DE184C" w:rsidP="00072E4A">
            <w:pPr>
              <w:tabs>
                <w:tab w:val="left" w:pos="916"/>
              </w:tabs>
              <w:autoSpaceDE w:val="0"/>
              <w:autoSpaceDN w:val="0"/>
              <w:adjustRightInd w:val="0"/>
              <w:jc w:val="center"/>
              <w:rPr>
                <w:b/>
                <w:kern w:val="2"/>
                <w:lang w:eastAsia="ru-RU"/>
              </w:rPr>
            </w:pPr>
            <w:r w:rsidRPr="00DE184C">
              <w:rPr>
                <w:b/>
                <w:kern w:val="2"/>
                <w:lang w:eastAsia="ru-RU"/>
              </w:rPr>
              <w:t>%</w:t>
            </w:r>
          </w:p>
        </w:tc>
      </w:tr>
      <w:tr w:rsidR="00DE184C" w:rsidRPr="00DE184C" w:rsidTr="00DE184C">
        <w:trPr>
          <w:trHeight w:val="485"/>
        </w:trPr>
        <w:tc>
          <w:tcPr>
            <w:tcW w:w="925" w:type="dxa"/>
            <w:tcBorders>
              <w:top w:val="nil"/>
              <w:left w:val="single" w:sz="4" w:space="0" w:color="000001"/>
              <w:bottom w:val="single" w:sz="4" w:space="0" w:color="000001"/>
              <w:right w:val="single" w:sz="4" w:space="0" w:color="000001"/>
            </w:tcBorders>
            <w:vAlign w:val="center"/>
            <w:hideMark/>
          </w:tcPr>
          <w:p w:rsidR="00DE184C" w:rsidRPr="00DE184C" w:rsidRDefault="00DE184C">
            <w:pPr>
              <w:tabs>
                <w:tab w:val="left" w:pos="916"/>
              </w:tabs>
              <w:jc w:val="center"/>
              <w:rPr>
                <w:lang w:eastAsia="ru-RU"/>
              </w:rPr>
            </w:pPr>
            <w:r w:rsidRPr="00DE184C">
              <w:rPr>
                <w:lang w:eastAsia="ru-RU"/>
              </w:rPr>
              <w:t>1.</w:t>
            </w:r>
          </w:p>
        </w:tc>
        <w:tc>
          <w:tcPr>
            <w:tcW w:w="4887" w:type="dxa"/>
            <w:tcBorders>
              <w:top w:val="nil"/>
              <w:left w:val="nil"/>
              <w:bottom w:val="single" w:sz="4" w:space="0" w:color="000001"/>
              <w:right w:val="single" w:sz="4" w:space="0" w:color="000001"/>
            </w:tcBorders>
            <w:vAlign w:val="center"/>
            <w:hideMark/>
          </w:tcPr>
          <w:p w:rsidR="00DE184C" w:rsidRPr="00DE184C" w:rsidRDefault="00DE184C">
            <w:pPr>
              <w:tabs>
                <w:tab w:val="left" w:pos="916"/>
              </w:tabs>
              <w:ind w:firstLine="709"/>
              <w:jc w:val="center"/>
              <w:rPr>
                <w:lang w:eastAsia="ru-RU"/>
              </w:rPr>
            </w:pPr>
            <w:r w:rsidRPr="00DE184C">
              <w:rPr>
                <w:lang w:eastAsia="ru-RU"/>
              </w:rPr>
              <w:t>ПАТ «КВБЗ»</w:t>
            </w:r>
          </w:p>
        </w:tc>
        <w:tc>
          <w:tcPr>
            <w:tcW w:w="2407" w:type="dxa"/>
            <w:tcBorders>
              <w:top w:val="nil"/>
              <w:left w:val="nil"/>
              <w:bottom w:val="single" w:sz="4" w:space="0" w:color="000001"/>
              <w:right w:val="single" w:sz="4" w:space="0" w:color="000001"/>
            </w:tcBorders>
            <w:vAlign w:val="center"/>
            <w:hideMark/>
          </w:tcPr>
          <w:p w:rsidR="00DE184C" w:rsidRPr="00DE184C" w:rsidRDefault="00DE184C">
            <w:pPr>
              <w:tabs>
                <w:tab w:val="left" w:pos="916"/>
              </w:tabs>
              <w:jc w:val="center"/>
              <w:rPr>
                <w:lang w:eastAsia="ru-RU"/>
              </w:rPr>
            </w:pPr>
            <w:r w:rsidRPr="00DE184C">
              <w:rPr>
                <w:lang w:val="en-US" w:eastAsia="ru-RU"/>
              </w:rPr>
              <w:t xml:space="preserve">+ </w:t>
            </w:r>
            <w:r w:rsidRPr="00DE184C">
              <w:rPr>
                <w:lang w:eastAsia="ru-RU"/>
              </w:rPr>
              <w:t>49 801,2</w:t>
            </w:r>
          </w:p>
        </w:tc>
        <w:tc>
          <w:tcPr>
            <w:tcW w:w="1276" w:type="dxa"/>
            <w:tcBorders>
              <w:top w:val="nil"/>
              <w:left w:val="nil"/>
              <w:bottom w:val="single" w:sz="4" w:space="0" w:color="000001"/>
              <w:right w:val="single" w:sz="4" w:space="0" w:color="000001"/>
            </w:tcBorders>
            <w:vAlign w:val="center"/>
            <w:hideMark/>
          </w:tcPr>
          <w:p w:rsidR="00DE184C" w:rsidRPr="00DE184C" w:rsidRDefault="00DE184C">
            <w:pPr>
              <w:tabs>
                <w:tab w:val="left" w:pos="916"/>
              </w:tabs>
              <w:jc w:val="center"/>
              <w:rPr>
                <w:lang w:eastAsia="ru-RU"/>
              </w:rPr>
            </w:pPr>
            <w:r w:rsidRPr="00DE184C">
              <w:rPr>
                <w:lang w:val="en-US" w:eastAsia="ru-RU"/>
              </w:rPr>
              <w:t xml:space="preserve">+ </w:t>
            </w:r>
            <w:r w:rsidRPr="00DE184C">
              <w:rPr>
                <w:lang w:eastAsia="ru-RU"/>
              </w:rPr>
              <w:t>31,3</w:t>
            </w:r>
          </w:p>
        </w:tc>
      </w:tr>
      <w:tr w:rsidR="00DE184C" w:rsidRPr="00DE184C" w:rsidTr="00DE184C">
        <w:trPr>
          <w:trHeight w:val="433"/>
        </w:trPr>
        <w:tc>
          <w:tcPr>
            <w:tcW w:w="925" w:type="dxa"/>
            <w:tcBorders>
              <w:top w:val="nil"/>
              <w:left w:val="single" w:sz="4" w:space="0" w:color="000001"/>
              <w:bottom w:val="single" w:sz="4" w:space="0" w:color="auto"/>
              <w:right w:val="single" w:sz="4" w:space="0" w:color="000001"/>
            </w:tcBorders>
            <w:vAlign w:val="center"/>
            <w:hideMark/>
          </w:tcPr>
          <w:p w:rsidR="00DE184C" w:rsidRPr="00DE184C" w:rsidRDefault="00DE184C">
            <w:pPr>
              <w:tabs>
                <w:tab w:val="left" w:pos="916"/>
              </w:tabs>
              <w:jc w:val="center"/>
              <w:rPr>
                <w:lang w:eastAsia="ru-RU"/>
              </w:rPr>
            </w:pPr>
            <w:r w:rsidRPr="00DE184C">
              <w:rPr>
                <w:lang w:eastAsia="ru-RU"/>
              </w:rPr>
              <w:t>2.</w:t>
            </w:r>
          </w:p>
        </w:tc>
        <w:tc>
          <w:tcPr>
            <w:tcW w:w="4887" w:type="dxa"/>
            <w:tcBorders>
              <w:top w:val="nil"/>
              <w:left w:val="nil"/>
              <w:bottom w:val="single" w:sz="4" w:space="0" w:color="auto"/>
              <w:right w:val="single" w:sz="4" w:space="0" w:color="000001"/>
            </w:tcBorders>
            <w:vAlign w:val="center"/>
            <w:hideMark/>
          </w:tcPr>
          <w:p w:rsidR="00DE184C" w:rsidRPr="00DE184C" w:rsidRDefault="00DE184C">
            <w:pPr>
              <w:tabs>
                <w:tab w:val="left" w:pos="916"/>
              </w:tabs>
              <w:ind w:firstLine="709"/>
              <w:jc w:val="center"/>
              <w:rPr>
                <w:lang w:eastAsia="ru-RU"/>
              </w:rPr>
            </w:pPr>
            <w:r w:rsidRPr="00DE184C">
              <w:rPr>
                <w:lang w:eastAsia="ru-RU"/>
              </w:rPr>
              <w:t>ПАТ «Укртатнафта»</w:t>
            </w:r>
          </w:p>
        </w:tc>
        <w:tc>
          <w:tcPr>
            <w:tcW w:w="2407" w:type="dxa"/>
            <w:tcBorders>
              <w:top w:val="nil"/>
              <w:left w:val="nil"/>
              <w:bottom w:val="single" w:sz="4" w:space="0" w:color="auto"/>
              <w:right w:val="single" w:sz="4" w:space="0" w:color="000001"/>
            </w:tcBorders>
            <w:vAlign w:val="center"/>
            <w:hideMark/>
          </w:tcPr>
          <w:p w:rsidR="00DE184C" w:rsidRPr="00DE184C" w:rsidRDefault="00DE184C">
            <w:pPr>
              <w:tabs>
                <w:tab w:val="left" w:pos="916"/>
              </w:tabs>
              <w:jc w:val="center"/>
              <w:rPr>
                <w:lang w:eastAsia="ru-RU"/>
              </w:rPr>
            </w:pPr>
            <w:r w:rsidRPr="00DE184C">
              <w:rPr>
                <w:lang w:val="en-US" w:eastAsia="ru-RU"/>
              </w:rPr>
              <w:t xml:space="preserve">+ </w:t>
            </w:r>
            <w:r w:rsidRPr="00DE184C">
              <w:rPr>
                <w:lang w:eastAsia="ru-RU"/>
              </w:rPr>
              <w:t>2 172,5</w:t>
            </w:r>
          </w:p>
        </w:tc>
        <w:tc>
          <w:tcPr>
            <w:tcW w:w="1276" w:type="dxa"/>
            <w:tcBorders>
              <w:top w:val="nil"/>
              <w:left w:val="nil"/>
              <w:bottom w:val="single" w:sz="4" w:space="0" w:color="auto"/>
              <w:right w:val="single" w:sz="4" w:space="0" w:color="000001"/>
            </w:tcBorders>
            <w:vAlign w:val="center"/>
            <w:hideMark/>
          </w:tcPr>
          <w:p w:rsidR="00DE184C" w:rsidRPr="00DE184C" w:rsidRDefault="00DE184C">
            <w:pPr>
              <w:tabs>
                <w:tab w:val="left" w:pos="916"/>
              </w:tabs>
              <w:jc w:val="center"/>
              <w:rPr>
                <w:lang w:eastAsia="ru-RU"/>
              </w:rPr>
            </w:pPr>
            <w:r w:rsidRPr="00DE184C">
              <w:rPr>
                <w:lang w:val="en-US" w:eastAsia="ru-RU"/>
              </w:rPr>
              <w:t xml:space="preserve">+ </w:t>
            </w:r>
            <w:r w:rsidRPr="00DE184C">
              <w:rPr>
                <w:lang w:eastAsia="ru-RU"/>
              </w:rPr>
              <w:t>1,7</w:t>
            </w:r>
          </w:p>
        </w:tc>
      </w:tr>
    </w:tbl>
    <w:p w:rsidR="00DE184C" w:rsidRDefault="00DE184C" w:rsidP="00DE184C">
      <w:pPr>
        <w:tabs>
          <w:tab w:val="left" w:pos="916"/>
        </w:tabs>
        <w:autoSpaceDE w:val="0"/>
        <w:autoSpaceDN w:val="0"/>
        <w:adjustRightInd w:val="0"/>
        <w:ind w:firstLine="709"/>
        <w:jc w:val="both"/>
        <w:rPr>
          <w:rFonts w:eastAsia="Arial11"/>
          <w:color w:val="FF0000"/>
          <w:sz w:val="28"/>
          <w:szCs w:val="28"/>
          <w:lang w:eastAsia="zh-CN" w:bidi="hi-IN"/>
        </w:rPr>
      </w:pPr>
    </w:p>
    <w:p w:rsidR="00DE184C" w:rsidRDefault="00DE184C" w:rsidP="00DE184C">
      <w:pPr>
        <w:tabs>
          <w:tab w:val="left" w:pos="916"/>
        </w:tabs>
        <w:autoSpaceDE w:val="0"/>
        <w:autoSpaceDN w:val="0"/>
        <w:adjustRightInd w:val="0"/>
        <w:spacing w:after="120"/>
        <w:ind w:firstLine="709"/>
        <w:jc w:val="both"/>
        <w:rPr>
          <w:sz w:val="28"/>
          <w:szCs w:val="28"/>
          <w:lang w:eastAsia="zh-CN"/>
        </w:rPr>
      </w:pPr>
      <w:r>
        <w:rPr>
          <w:rFonts w:eastAsia="Arial11"/>
          <w:sz w:val="28"/>
          <w:szCs w:val="28"/>
          <w:lang w:eastAsia="zh-CN" w:bidi="hi-IN"/>
        </w:rPr>
        <w:t xml:space="preserve">Враховано інформацію управління економіки </w:t>
      </w:r>
      <w:r>
        <w:rPr>
          <w:sz w:val="28"/>
          <w:szCs w:val="28"/>
          <w:lang w:eastAsia="ru-RU"/>
        </w:rPr>
        <w:t>виконавчого комітету Кременчуцької міської ради Полтавської області щодо</w:t>
      </w:r>
      <w:r>
        <w:rPr>
          <w:rFonts w:eastAsia="Arial11"/>
          <w:sz w:val="28"/>
          <w:szCs w:val="28"/>
          <w:lang w:eastAsia="zh-CN" w:bidi="hi-IN"/>
        </w:rPr>
        <w:t xml:space="preserve"> економічних показників діяльності великих платників податків у 2018 році, їх </w:t>
      </w:r>
      <w:r>
        <w:rPr>
          <w:sz w:val="28"/>
          <w:szCs w:val="28"/>
          <w:lang w:eastAsia="zh-CN"/>
        </w:rPr>
        <w:t>стабільну роботу у 2019 році, збільшення обсягів виробництва на більшості з них та внаслідок чого збільшення чисельності працюючих, зростання заробітних плат, а відповідно збільшення фондів оплати праці та надходжень ПДФО до місцевого бюджету.</w:t>
      </w:r>
    </w:p>
    <w:p w:rsidR="00DE184C" w:rsidRDefault="00DE184C" w:rsidP="00DE184C">
      <w:pPr>
        <w:tabs>
          <w:tab w:val="left" w:pos="916"/>
        </w:tabs>
        <w:autoSpaceDE w:val="0"/>
        <w:autoSpaceDN w:val="0"/>
        <w:adjustRightInd w:val="0"/>
        <w:ind w:firstLine="709"/>
        <w:jc w:val="both"/>
        <w:rPr>
          <w:sz w:val="28"/>
          <w:szCs w:val="28"/>
          <w:lang w:eastAsia="zh-CN"/>
        </w:rPr>
      </w:pPr>
      <w:r>
        <w:rPr>
          <w:sz w:val="28"/>
          <w:szCs w:val="28"/>
          <w:lang w:eastAsia="zh-CN"/>
        </w:rPr>
        <w:t xml:space="preserve">Але слід зазначити, що на таких бюджетоутворюючих підприємствах, як: </w:t>
      </w:r>
      <w:r>
        <w:rPr>
          <w:sz w:val="28"/>
          <w:szCs w:val="28"/>
          <w:lang w:eastAsia="ru-RU"/>
        </w:rPr>
        <w:t>ПрАТ «Кременчуцький колісний завод», ПАТ «</w:t>
      </w:r>
      <w:proofErr w:type="spellStart"/>
      <w:r>
        <w:rPr>
          <w:sz w:val="28"/>
          <w:szCs w:val="28"/>
          <w:lang w:eastAsia="ru-RU"/>
        </w:rPr>
        <w:t>Стальзавод</w:t>
      </w:r>
      <w:proofErr w:type="spellEnd"/>
      <w:r>
        <w:rPr>
          <w:sz w:val="28"/>
          <w:szCs w:val="28"/>
          <w:lang w:eastAsia="ru-RU"/>
        </w:rPr>
        <w:t>»,                                  ПрАТ КВТФ «КРЕМТЕКС», ТОВ «Кременчуцький хлібокомбінат»,                       ПрАТ «</w:t>
      </w:r>
      <w:proofErr w:type="spellStart"/>
      <w:r>
        <w:rPr>
          <w:sz w:val="28"/>
          <w:szCs w:val="28"/>
          <w:lang w:eastAsia="ru-RU"/>
        </w:rPr>
        <w:t>Кредмаш</w:t>
      </w:r>
      <w:proofErr w:type="spellEnd"/>
      <w:r>
        <w:rPr>
          <w:sz w:val="28"/>
          <w:szCs w:val="28"/>
          <w:lang w:eastAsia="ru-RU"/>
        </w:rPr>
        <w:t xml:space="preserve">»  </w:t>
      </w:r>
      <w:r>
        <w:rPr>
          <w:sz w:val="28"/>
          <w:szCs w:val="28"/>
          <w:lang w:eastAsia="zh-CN"/>
        </w:rPr>
        <w:t>відбулося значне зниження обсягів виробництва, що в свою чергу вплинуло на надходження ПДФО до місцевого бюджету. Зменшення виробництва майже по</w:t>
      </w:r>
      <w:r>
        <w:t xml:space="preserve"> </w:t>
      </w:r>
      <w:r>
        <w:rPr>
          <w:sz w:val="28"/>
          <w:szCs w:val="28"/>
          <w:lang w:eastAsia="zh-CN"/>
        </w:rPr>
        <w:t>всіх основних видах промислової продукції зумовлено відсутністю ринків збуту та власних оборотних коштів.</w:t>
      </w:r>
      <w:r>
        <w:t xml:space="preserve"> </w:t>
      </w:r>
      <w:r>
        <w:rPr>
          <w:sz w:val="28"/>
          <w:szCs w:val="28"/>
          <w:lang w:eastAsia="zh-CN"/>
        </w:rPr>
        <w:t>Працівники виробничих професій в пошуках кращої оплати праці звільнялися з підприємств та  виїжджали за кордон.</w:t>
      </w:r>
    </w:p>
    <w:p w:rsidR="00DE184C" w:rsidRDefault="00DE184C" w:rsidP="00DE184C">
      <w:pPr>
        <w:tabs>
          <w:tab w:val="left" w:pos="916"/>
        </w:tabs>
        <w:autoSpaceDE w:val="0"/>
        <w:autoSpaceDN w:val="0"/>
        <w:adjustRightInd w:val="0"/>
        <w:spacing w:after="120"/>
        <w:ind w:firstLine="709"/>
        <w:jc w:val="both"/>
        <w:rPr>
          <w:rFonts w:eastAsia="Arial11"/>
          <w:sz w:val="28"/>
          <w:szCs w:val="28"/>
          <w:lang w:eastAsia="zh-CN" w:bidi="hi-IN"/>
        </w:rPr>
      </w:pPr>
      <w:r>
        <w:rPr>
          <w:rFonts w:eastAsia="Arial11"/>
          <w:sz w:val="28"/>
          <w:szCs w:val="28"/>
          <w:lang w:eastAsia="zh-CN" w:bidi="hi-IN"/>
        </w:rPr>
        <w:t>Враховано вжиття комплексу заходів з погашення заборгованості із виплати заробітної плати та активізація роботи щодо легалізації виплати заробітної плати, шляхом здійснення контролю за діяльністю суб’єктів господарської діяльності, які приховують отримані доходи, виплачують заробітну плату з порушенням вимог податкового законодавства.</w:t>
      </w:r>
    </w:p>
    <w:p w:rsidR="00DE184C" w:rsidRDefault="00DE184C" w:rsidP="00DE184C">
      <w:pPr>
        <w:tabs>
          <w:tab w:val="left" w:pos="916"/>
        </w:tabs>
        <w:ind w:firstLine="709"/>
        <w:jc w:val="both"/>
        <w:rPr>
          <w:sz w:val="28"/>
          <w:szCs w:val="28"/>
          <w:lang w:eastAsia="ru-RU"/>
        </w:rPr>
      </w:pPr>
      <w:r>
        <w:rPr>
          <w:sz w:val="28"/>
          <w:szCs w:val="28"/>
          <w:lang w:eastAsia="ru-RU"/>
        </w:rPr>
        <w:t xml:space="preserve">За інформацією Кременчуцького управління ГУ ДПС у Полтавській області  </w:t>
      </w:r>
      <w:bookmarkStart w:id="0" w:name="__DdeLink__7174_1631937631"/>
      <w:bookmarkStart w:id="1" w:name="__DdeLink__5812_1783710837"/>
      <w:r>
        <w:rPr>
          <w:sz w:val="28"/>
          <w:szCs w:val="28"/>
          <w:lang w:eastAsia="ru-RU"/>
        </w:rPr>
        <w:t>у 2019 році членами групи по легалізації виплати заробітної плати та зайнятості населення м. Кременчука проведено 48 спільних рейдів за результатами яких: обстежено 1060 об'єктів здійснення діяльності. Встановлено порушення у 141 суб’єкта господарювання, виявлено 202 неоформлених найманих працівника.</w:t>
      </w:r>
    </w:p>
    <w:p w:rsidR="00DE184C" w:rsidRDefault="00DE184C"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t>Оформлено трудові відносини та укладено трудові договори з                      176 найманим</w:t>
      </w:r>
      <w:r>
        <w:rPr>
          <w:sz w:val="28"/>
          <w:szCs w:val="28"/>
          <w:lang w:val="ru-RU" w:eastAsia="ru-RU"/>
        </w:rPr>
        <w:t>и</w:t>
      </w:r>
      <w:r>
        <w:rPr>
          <w:sz w:val="28"/>
          <w:szCs w:val="28"/>
          <w:lang w:eastAsia="ru-RU"/>
        </w:rPr>
        <w:t xml:space="preserve"> працівник</w:t>
      </w:r>
      <w:proofErr w:type="spellStart"/>
      <w:r>
        <w:rPr>
          <w:sz w:val="28"/>
          <w:szCs w:val="28"/>
          <w:lang w:val="ru-RU" w:eastAsia="ru-RU"/>
        </w:rPr>
        <w:t>ами</w:t>
      </w:r>
      <w:proofErr w:type="spellEnd"/>
      <w:r>
        <w:rPr>
          <w:sz w:val="28"/>
          <w:szCs w:val="28"/>
          <w:lang w:eastAsia="ru-RU"/>
        </w:rPr>
        <w:t xml:space="preserve">, </w:t>
      </w:r>
      <w:r>
        <w:rPr>
          <w:sz w:val="28"/>
          <w:szCs w:val="28"/>
          <w:lang w:val="ru-RU" w:eastAsia="ru-RU"/>
        </w:rPr>
        <w:t>39</w:t>
      </w:r>
      <w:r>
        <w:rPr>
          <w:sz w:val="28"/>
          <w:szCs w:val="28"/>
          <w:lang w:eastAsia="ru-RU"/>
        </w:rPr>
        <w:t xml:space="preserve"> громадян зареєструвалися як приватні підприємці.</w:t>
      </w:r>
    </w:p>
    <w:p w:rsidR="00DE184C" w:rsidRDefault="00DE184C" w:rsidP="00DE184C">
      <w:pPr>
        <w:widowControl w:val="0"/>
        <w:tabs>
          <w:tab w:val="left" w:pos="916"/>
        </w:tabs>
        <w:autoSpaceDE w:val="0"/>
        <w:autoSpaceDN w:val="0"/>
        <w:adjustRightInd w:val="0"/>
        <w:jc w:val="both"/>
        <w:rPr>
          <w:kern w:val="2"/>
          <w:sz w:val="28"/>
          <w:szCs w:val="28"/>
          <w:lang w:eastAsia="zh-CN" w:bidi="hi-IN"/>
        </w:rPr>
      </w:pPr>
    </w:p>
    <w:p w:rsidR="00DE184C" w:rsidRDefault="00DE184C" w:rsidP="00DE184C">
      <w:pPr>
        <w:widowControl w:val="0"/>
        <w:tabs>
          <w:tab w:val="left" w:pos="916"/>
        </w:tabs>
        <w:autoSpaceDE w:val="0"/>
        <w:autoSpaceDN w:val="0"/>
        <w:adjustRightInd w:val="0"/>
        <w:ind w:firstLine="709"/>
        <w:jc w:val="both"/>
        <w:rPr>
          <w:kern w:val="2"/>
          <w:sz w:val="28"/>
          <w:szCs w:val="28"/>
          <w:lang w:eastAsia="zh-CN" w:bidi="hi-IN"/>
        </w:rPr>
      </w:pPr>
      <w:r>
        <w:rPr>
          <w:kern w:val="2"/>
          <w:sz w:val="28"/>
          <w:szCs w:val="28"/>
          <w:lang w:eastAsia="zh-CN" w:bidi="hi-IN"/>
        </w:rPr>
        <w:lastRenderedPageBreak/>
        <w:t>За результатами вжитих заходів сплачено:</w:t>
      </w:r>
    </w:p>
    <w:p w:rsidR="00DE184C" w:rsidRDefault="00DE184C" w:rsidP="00DE184C">
      <w:pPr>
        <w:widowControl w:val="0"/>
        <w:tabs>
          <w:tab w:val="left" w:pos="916"/>
        </w:tabs>
        <w:autoSpaceDE w:val="0"/>
        <w:autoSpaceDN w:val="0"/>
        <w:adjustRightInd w:val="0"/>
        <w:ind w:firstLine="709"/>
        <w:jc w:val="both"/>
        <w:rPr>
          <w:kern w:val="2"/>
          <w:sz w:val="28"/>
          <w:szCs w:val="28"/>
          <w:lang w:eastAsia="zh-CN" w:bidi="hi-IN"/>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2126"/>
      </w:tblGrid>
      <w:tr w:rsidR="00DE184C" w:rsidTr="00DE184C">
        <w:trPr>
          <w:trHeight w:val="552"/>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pPr>
              <w:widowControl w:val="0"/>
              <w:tabs>
                <w:tab w:val="left" w:pos="916"/>
              </w:tabs>
              <w:autoSpaceDE w:val="0"/>
              <w:autoSpaceDN w:val="0"/>
              <w:adjustRightInd w:val="0"/>
              <w:ind w:firstLine="709"/>
              <w:jc w:val="center"/>
              <w:rPr>
                <w:b/>
                <w:kern w:val="2"/>
                <w:lang w:eastAsia="zh-CN" w:bidi="hi-IN"/>
              </w:rPr>
            </w:pPr>
            <w:r>
              <w:rPr>
                <w:b/>
                <w:kern w:val="2"/>
                <w:lang w:eastAsia="zh-CN" w:bidi="hi-IN"/>
              </w:rPr>
              <w:t>Назва податку, збору</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widowControl w:val="0"/>
              <w:tabs>
                <w:tab w:val="left" w:pos="916"/>
              </w:tabs>
              <w:autoSpaceDE w:val="0"/>
              <w:autoSpaceDN w:val="0"/>
              <w:adjustRightInd w:val="0"/>
              <w:ind w:firstLine="709"/>
              <w:jc w:val="center"/>
              <w:rPr>
                <w:b/>
                <w:kern w:val="2"/>
                <w:lang w:eastAsia="zh-CN" w:bidi="hi-IN"/>
              </w:rPr>
            </w:pPr>
            <w:r>
              <w:rPr>
                <w:b/>
                <w:kern w:val="2"/>
                <w:lang w:eastAsia="zh-CN" w:bidi="hi-IN"/>
              </w:rPr>
              <w:t xml:space="preserve">Сума, </w:t>
            </w:r>
          </w:p>
          <w:p w:rsidR="00DE184C" w:rsidRDefault="00DE184C">
            <w:pPr>
              <w:widowControl w:val="0"/>
              <w:tabs>
                <w:tab w:val="left" w:pos="916"/>
              </w:tabs>
              <w:autoSpaceDE w:val="0"/>
              <w:autoSpaceDN w:val="0"/>
              <w:adjustRightInd w:val="0"/>
              <w:ind w:firstLine="709"/>
              <w:jc w:val="center"/>
              <w:rPr>
                <w:b/>
                <w:kern w:val="2"/>
                <w:lang w:eastAsia="zh-CN" w:bidi="hi-IN"/>
              </w:rPr>
            </w:pPr>
            <w:proofErr w:type="spellStart"/>
            <w:r>
              <w:rPr>
                <w:b/>
                <w:kern w:val="2"/>
                <w:lang w:eastAsia="zh-CN" w:bidi="hi-IN"/>
              </w:rPr>
              <w:t>тис.грн</w:t>
            </w:r>
            <w:proofErr w:type="spellEnd"/>
            <w:r>
              <w:rPr>
                <w:b/>
                <w:kern w:val="2"/>
                <w:lang w:eastAsia="zh-CN" w:bidi="hi-IN"/>
              </w:rPr>
              <w:t xml:space="preserve"> </w:t>
            </w:r>
          </w:p>
        </w:tc>
      </w:tr>
      <w:tr w:rsidR="00DE184C" w:rsidTr="00DE184C">
        <w:trPr>
          <w:trHeight w:val="449"/>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kern w:val="2"/>
                <w:lang w:eastAsia="zh-CN" w:bidi="hi-IN"/>
              </w:rPr>
            </w:pPr>
            <w:r>
              <w:rPr>
                <w:bCs/>
                <w:kern w:val="2"/>
                <w:lang w:eastAsia="zh-CN" w:bidi="hi-IN"/>
              </w:rPr>
              <w:t>Податок на доходи фізичних осіб</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125,8</w:t>
            </w:r>
          </w:p>
        </w:tc>
      </w:tr>
      <w:tr w:rsidR="00DE184C" w:rsidTr="00DE184C">
        <w:trPr>
          <w:trHeight w:val="414"/>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bCs/>
                <w:kern w:val="2"/>
                <w:lang w:eastAsia="zh-CN" w:bidi="hi-IN"/>
              </w:rPr>
            </w:pPr>
            <w:r>
              <w:rPr>
                <w:bCs/>
                <w:kern w:val="2"/>
                <w:lang w:eastAsia="zh-CN" w:bidi="hi-IN"/>
              </w:rPr>
              <w:t>Єдиний внесок на загальнообов’язкове державне соціальне страхування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242,0</w:t>
            </w:r>
          </w:p>
        </w:tc>
      </w:tr>
      <w:tr w:rsidR="00DE184C" w:rsidTr="00DE184C">
        <w:trPr>
          <w:trHeight w:val="419"/>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kern w:val="2"/>
                <w:lang w:eastAsia="zh-CN" w:bidi="hi-IN"/>
              </w:rPr>
            </w:pPr>
            <w:r>
              <w:rPr>
                <w:kern w:val="2"/>
                <w:lang w:eastAsia="zh-CN" w:bidi="hi-IN"/>
              </w:rPr>
              <w:t>Військовий збір</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11,1</w:t>
            </w:r>
          </w:p>
        </w:tc>
      </w:tr>
      <w:tr w:rsidR="00DE184C" w:rsidTr="00DE184C">
        <w:trPr>
          <w:trHeight w:val="397"/>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kern w:val="2"/>
                <w:lang w:eastAsia="zh-CN" w:bidi="hi-IN"/>
              </w:rPr>
            </w:pPr>
            <w:r>
              <w:rPr>
                <w:kern w:val="2"/>
                <w:lang w:eastAsia="zh-CN" w:bidi="hi-IN"/>
              </w:rPr>
              <w:t>Єдиний податок</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30,0</w:t>
            </w:r>
          </w:p>
        </w:tc>
      </w:tr>
      <w:tr w:rsidR="00DE184C" w:rsidTr="00DE184C">
        <w:trPr>
          <w:trHeight w:val="417"/>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kern w:val="2"/>
                <w:lang w:eastAsia="zh-CN" w:bidi="hi-IN"/>
              </w:rPr>
            </w:pPr>
            <w:r>
              <w:rPr>
                <w:kern w:val="2"/>
                <w:lang w:eastAsia="zh-CN" w:bidi="hi-IN"/>
              </w:rPr>
              <w:t>Податок на нерухоме майно, відмінне від земельної ділянки</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76,0</w:t>
            </w:r>
          </w:p>
        </w:tc>
      </w:tr>
      <w:bookmarkEnd w:id="0"/>
      <w:bookmarkEnd w:id="1"/>
    </w:tbl>
    <w:p w:rsidR="00DE184C" w:rsidRDefault="00DE184C" w:rsidP="00DE184C">
      <w:pPr>
        <w:tabs>
          <w:tab w:val="left" w:pos="0"/>
          <w:tab w:val="left" w:pos="916"/>
          <w:tab w:val="left" w:pos="1134"/>
        </w:tabs>
        <w:ind w:left="709"/>
        <w:contextualSpacing/>
        <w:jc w:val="both"/>
        <w:rPr>
          <w:spacing w:val="1"/>
          <w:sz w:val="28"/>
          <w:szCs w:val="28"/>
          <w:lang w:val="ru-RU" w:eastAsia="ru-RU"/>
        </w:rPr>
      </w:pPr>
    </w:p>
    <w:p w:rsidR="00DE184C" w:rsidRDefault="00DE184C" w:rsidP="00DE184C">
      <w:pPr>
        <w:numPr>
          <w:ilvl w:val="0"/>
          <w:numId w:val="1"/>
        </w:numPr>
        <w:tabs>
          <w:tab w:val="left" w:pos="0"/>
          <w:tab w:val="left" w:pos="916"/>
          <w:tab w:val="left" w:pos="1134"/>
        </w:tabs>
        <w:ind w:left="0" w:firstLine="709"/>
        <w:contextualSpacing/>
        <w:jc w:val="both"/>
        <w:rPr>
          <w:spacing w:val="1"/>
          <w:sz w:val="28"/>
          <w:szCs w:val="28"/>
          <w:lang w:val="ru-RU" w:eastAsia="ru-RU"/>
        </w:rPr>
      </w:pPr>
      <w:r>
        <w:rPr>
          <w:spacing w:val="1"/>
          <w:sz w:val="28"/>
          <w:szCs w:val="28"/>
          <w:lang w:eastAsia="ru-RU"/>
        </w:rPr>
        <w:t>акцизному податку з виробленого в Україні та ввезеного на митну територію України пального, при плані 66 800,0 тис. грн фактично надійшло               58 992,6 тис. грн /-/ 7 807,4 тис. грн або виконання забезпечено на 88,3%.</w:t>
      </w:r>
      <w:r>
        <w:rPr>
          <w:spacing w:val="1"/>
          <w:sz w:val="28"/>
          <w:szCs w:val="28"/>
          <w:lang w:val="ru-RU" w:eastAsia="ru-RU"/>
        </w:rPr>
        <w:tab/>
      </w:r>
      <w:r>
        <w:rPr>
          <w:spacing w:val="1"/>
          <w:sz w:val="28"/>
          <w:szCs w:val="28"/>
          <w:lang w:val="ru-RU" w:eastAsia="ru-RU"/>
        </w:rPr>
        <w:tab/>
      </w:r>
    </w:p>
    <w:p w:rsidR="00DE184C" w:rsidRDefault="00DE184C" w:rsidP="00DE184C">
      <w:pPr>
        <w:tabs>
          <w:tab w:val="left" w:pos="916"/>
        </w:tabs>
        <w:ind w:firstLine="709"/>
        <w:jc w:val="right"/>
        <w:rPr>
          <w:sz w:val="28"/>
          <w:szCs w:val="28"/>
        </w:rPr>
      </w:pPr>
      <w:r>
        <w:rPr>
          <w:sz w:val="28"/>
          <w:szCs w:val="28"/>
        </w:rPr>
        <w:t>тис. грн</w:t>
      </w:r>
    </w:p>
    <w:p w:rsidR="00DE184C" w:rsidRDefault="00DE184C" w:rsidP="00DE184C">
      <w:pPr>
        <w:tabs>
          <w:tab w:val="left" w:pos="916"/>
        </w:tabs>
        <w:jc w:val="both"/>
        <w:rPr>
          <w:sz w:val="28"/>
          <w:szCs w:val="28"/>
        </w:rPr>
      </w:pPr>
      <w:r>
        <w:rPr>
          <w:noProof/>
          <w:lang w:val="ru-RU" w:eastAsia="ru-RU"/>
        </w:rPr>
        <w:drawing>
          <wp:inline distT="0" distB="0" distL="0" distR="0">
            <wp:extent cx="6159500" cy="46482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59500" cy="4648200"/>
                    </a:xfrm>
                    <a:prstGeom prst="rect">
                      <a:avLst/>
                    </a:prstGeom>
                    <a:noFill/>
                    <a:ln>
                      <a:noFill/>
                    </a:ln>
                  </pic:spPr>
                </pic:pic>
              </a:graphicData>
            </a:graphic>
          </wp:inline>
        </w:drawing>
      </w:r>
    </w:p>
    <w:p w:rsidR="00DE184C" w:rsidRDefault="00DE184C" w:rsidP="00DE184C">
      <w:pPr>
        <w:tabs>
          <w:tab w:val="left" w:pos="916"/>
        </w:tabs>
        <w:ind w:firstLine="709"/>
        <w:jc w:val="both"/>
        <w:rPr>
          <w:sz w:val="28"/>
          <w:szCs w:val="28"/>
        </w:rPr>
      </w:pPr>
      <w:r>
        <w:rPr>
          <w:sz w:val="28"/>
          <w:szCs w:val="28"/>
        </w:rPr>
        <w:t>Спрогнозувати   акцизний податок з виробленого та ввезеного пального досить складно. За повідомленням  ГУ ДПС  у Полтавській області ведення інформаційних систем та розміщення інформаційних ресурсів по питанню  обсягу реалізованого суб'єктами господарювання роздрібної торгівлі пального на відповідній території здійснюється безпосередньо на рівні ДПС України.</w:t>
      </w:r>
    </w:p>
    <w:p w:rsidR="00DE184C" w:rsidRDefault="00DE184C" w:rsidP="00DE184C">
      <w:pPr>
        <w:tabs>
          <w:tab w:val="left" w:pos="916"/>
        </w:tabs>
        <w:ind w:firstLine="709"/>
        <w:jc w:val="both"/>
        <w:rPr>
          <w:sz w:val="28"/>
          <w:szCs w:val="28"/>
        </w:rPr>
      </w:pPr>
      <w:r>
        <w:rPr>
          <w:sz w:val="28"/>
          <w:szCs w:val="28"/>
        </w:rPr>
        <w:lastRenderedPageBreak/>
        <w:t xml:space="preserve">Тому, для обрахунку очікуваних надходжень акцизного податку з виробленого та ввезеного пального на 2019 рік були взяті за основу очікувані надходження в 2018 році та фактичні надходження за 2017 рік. </w:t>
      </w:r>
    </w:p>
    <w:p w:rsidR="00DE184C" w:rsidRDefault="00DE184C" w:rsidP="00DE184C">
      <w:pPr>
        <w:tabs>
          <w:tab w:val="left" w:pos="916"/>
          <w:tab w:val="left" w:pos="993"/>
        </w:tabs>
        <w:autoSpaceDE w:val="0"/>
        <w:autoSpaceDN w:val="0"/>
        <w:ind w:firstLine="709"/>
        <w:jc w:val="both"/>
        <w:rPr>
          <w:sz w:val="28"/>
          <w:szCs w:val="28"/>
          <w:lang w:eastAsia="ru-RU"/>
        </w:rPr>
      </w:pPr>
      <w:r>
        <w:rPr>
          <w:spacing w:val="15"/>
          <w:sz w:val="28"/>
          <w:szCs w:val="28"/>
        </w:rPr>
        <w:t xml:space="preserve">Фактично </w:t>
      </w:r>
      <w:r>
        <w:rPr>
          <w:sz w:val="28"/>
          <w:szCs w:val="28"/>
          <w:lang w:eastAsia="ru-RU"/>
        </w:rPr>
        <w:t xml:space="preserve"> в 2018 році  </w:t>
      </w:r>
      <w:r>
        <w:rPr>
          <w:spacing w:val="15"/>
          <w:sz w:val="28"/>
          <w:szCs w:val="28"/>
        </w:rPr>
        <w:t>надійшло</w:t>
      </w:r>
      <w:r>
        <w:rPr>
          <w:sz w:val="28"/>
          <w:szCs w:val="28"/>
          <w:lang w:eastAsia="ru-RU"/>
        </w:rPr>
        <w:t xml:space="preserve"> акцизного податку з виробленого в Україні та ввезеного на митну територію України пального - 62 054,1 тис. грн, заплановано на 2019 рік 66 800,0 тис. грн або на 7,6% більше /+/4 745,9 тис. грн.  В 2019 році в порівнянні з 2018 роком надходження по даному податку зменшились на  4,9% або /-/ 3 061,5 тис. грн.</w:t>
      </w:r>
    </w:p>
    <w:p w:rsidR="00DE184C" w:rsidRDefault="00DE184C" w:rsidP="00DE184C">
      <w:pPr>
        <w:tabs>
          <w:tab w:val="left" w:pos="916"/>
        </w:tabs>
        <w:ind w:firstLine="709"/>
        <w:jc w:val="both"/>
        <w:rPr>
          <w:sz w:val="28"/>
          <w:szCs w:val="28"/>
          <w:lang w:eastAsia="ru-RU"/>
        </w:rPr>
      </w:pPr>
      <w:r>
        <w:rPr>
          <w:spacing w:val="1"/>
          <w:sz w:val="28"/>
          <w:szCs w:val="28"/>
          <w:lang w:eastAsia="ru-RU"/>
        </w:rPr>
        <w:t>По інших джерелах доходів забезпечено виконання планових показників, в тому числі по:</w:t>
      </w:r>
    </w:p>
    <w:p w:rsidR="00DE184C" w:rsidRDefault="00DE184C" w:rsidP="00DE184C">
      <w:pPr>
        <w:numPr>
          <w:ilvl w:val="0"/>
          <w:numId w:val="2"/>
        </w:numPr>
        <w:tabs>
          <w:tab w:val="left" w:pos="916"/>
          <w:tab w:val="left" w:pos="1134"/>
        </w:tabs>
        <w:ind w:left="0" w:firstLine="709"/>
        <w:contextualSpacing/>
        <w:jc w:val="both"/>
        <w:rPr>
          <w:sz w:val="28"/>
          <w:szCs w:val="28"/>
          <w:lang w:eastAsia="ru-RU"/>
        </w:rPr>
      </w:pPr>
      <w:r>
        <w:rPr>
          <w:sz w:val="28"/>
          <w:szCs w:val="28"/>
          <w:lang w:eastAsia="ru-RU"/>
        </w:rPr>
        <w:t>єдиному податку – 101,5% /+/ 2 016,1 тис. грн;</w:t>
      </w:r>
    </w:p>
    <w:p w:rsidR="00DE184C" w:rsidRDefault="00DE184C" w:rsidP="00DE184C">
      <w:pPr>
        <w:numPr>
          <w:ilvl w:val="0"/>
          <w:numId w:val="2"/>
        </w:numPr>
        <w:tabs>
          <w:tab w:val="left" w:pos="916"/>
          <w:tab w:val="left" w:pos="1134"/>
        </w:tabs>
        <w:ind w:left="0" w:firstLine="709"/>
        <w:contextualSpacing/>
        <w:jc w:val="both"/>
        <w:rPr>
          <w:sz w:val="28"/>
          <w:szCs w:val="28"/>
          <w:lang w:eastAsia="ru-RU"/>
        </w:rPr>
      </w:pPr>
      <w:r>
        <w:rPr>
          <w:sz w:val="28"/>
          <w:szCs w:val="28"/>
          <w:lang w:eastAsia="ru-RU"/>
        </w:rPr>
        <w:t>податку на майно в частині земельного податку – 100,8% /+/                        1 473,6 тис. грн;</w:t>
      </w:r>
    </w:p>
    <w:p w:rsidR="00DE184C" w:rsidRDefault="00DE184C" w:rsidP="00DE184C">
      <w:pPr>
        <w:numPr>
          <w:ilvl w:val="0"/>
          <w:numId w:val="2"/>
        </w:numPr>
        <w:tabs>
          <w:tab w:val="left" w:pos="916"/>
          <w:tab w:val="left" w:pos="1134"/>
        </w:tabs>
        <w:ind w:left="0" w:firstLine="709"/>
        <w:contextualSpacing/>
        <w:jc w:val="both"/>
        <w:rPr>
          <w:sz w:val="28"/>
          <w:szCs w:val="28"/>
          <w:lang w:eastAsia="ru-RU"/>
        </w:rPr>
      </w:pPr>
      <w:r>
        <w:rPr>
          <w:spacing w:val="1"/>
          <w:sz w:val="28"/>
          <w:szCs w:val="28"/>
          <w:lang w:eastAsia="ru-RU"/>
        </w:rPr>
        <w:t>надходженню коштів</w:t>
      </w:r>
      <w:r>
        <w:rPr>
          <w:lang w:eastAsia="ru-RU"/>
        </w:rPr>
        <w:t xml:space="preserve"> </w:t>
      </w:r>
      <w:r>
        <w:rPr>
          <w:spacing w:val="1"/>
          <w:sz w:val="28"/>
          <w:szCs w:val="28"/>
          <w:lang w:eastAsia="ru-RU"/>
        </w:rPr>
        <w:t xml:space="preserve">за шкоду, що заподіяна на земельних ділянках державної та комунальної власності, які не надані у користування та не передані у власність, внаслідок їх самовільного зайняття, використання не за цільовим призначенням, зняття ґрунтового покриву (родючого шару ґрунту) без спеціального дозволу; відшкодування збитків за погіршення якості ґрунтового покриву тощо та за неодержання доходів у зв’язку з тимчасовим невикористанням земельних ділянок – 126,9%  /+/ 993,6 тис. грн. </w:t>
      </w:r>
      <w:r>
        <w:rPr>
          <w:sz w:val="28"/>
          <w:szCs w:val="28"/>
          <w:lang w:eastAsia="ru-RU"/>
        </w:rPr>
        <w:t>В  порівнянні з 2018 роком надходження по даному платежу зросли на /+/3 981,2 тис. грн  або в 6,6 раз.</w:t>
      </w:r>
    </w:p>
    <w:p w:rsidR="00DE184C" w:rsidRDefault="00DE184C" w:rsidP="00DE184C">
      <w:pPr>
        <w:tabs>
          <w:tab w:val="left" w:pos="916"/>
        </w:tabs>
        <w:ind w:firstLine="5954"/>
        <w:jc w:val="center"/>
        <w:rPr>
          <w:sz w:val="28"/>
          <w:szCs w:val="28"/>
          <w:lang w:val="ru-RU" w:eastAsia="ru-RU"/>
        </w:rPr>
      </w:pPr>
      <w:r>
        <w:rPr>
          <w:sz w:val="28"/>
          <w:szCs w:val="28"/>
          <w:lang w:val="ru-RU" w:eastAsia="ru-RU"/>
        </w:rPr>
        <w:t xml:space="preserve">            тис</w:t>
      </w:r>
      <w:proofErr w:type="gramStart"/>
      <w:r>
        <w:rPr>
          <w:sz w:val="28"/>
          <w:szCs w:val="28"/>
          <w:lang w:val="ru-RU" w:eastAsia="ru-RU"/>
        </w:rPr>
        <w:t>.</w:t>
      </w:r>
      <w:proofErr w:type="gramEnd"/>
      <w:r>
        <w:rPr>
          <w:sz w:val="28"/>
          <w:szCs w:val="28"/>
          <w:lang w:val="ru-RU" w:eastAsia="ru-RU"/>
        </w:rPr>
        <w:t xml:space="preserve"> </w:t>
      </w:r>
      <w:proofErr w:type="spellStart"/>
      <w:proofErr w:type="gramStart"/>
      <w:r>
        <w:rPr>
          <w:sz w:val="28"/>
          <w:szCs w:val="28"/>
          <w:lang w:val="ru-RU" w:eastAsia="ru-RU"/>
        </w:rPr>
        <w:t>г</w:t>
      </w:r>
      <w:proofErr w:type="gramEnd"/>
      <w:r>
        <w:rPr>
          <w:sz w:val="28"/>
          <w:szCs w:val="28"/>
          <w:lang w:val="ru-RU" w:eastAsia="ru-RU"/>
        </w:rPr>
        <w:t>рн</w:t>
      </w:r>
      <w:proofErr w:type="spellEnd"/>
    </w:p>
    <w:p w:rsidR="00DE184C" w:rsidRDefault="00DE184C" w:rsidP="00DE184C">
      <w:pPr>
        <w:tabs>
          <w:tab w:val="left" w:pos="916"/>
        </w:tabs>
        <w:jc w:val="center"/>
        <w:rPr>
          <w:sz w:val="28"/>
          <w:szCs w:val="28"/>
          <w:lang w:val="ru-RU" w:eastAsia="ru-RU"/>
        </w:rPr>
      </w:pPr>
      <w:r>
        <w:rPr>
          <w:noProof/>
          <w:lang w:val="ru-RU" w:eastAsia="ru-RU"/>
        </w:rPr>
        <w:drawing>
          <wp:inline distT="0" distB="0" distL="0" distR="0">
            <wp:extent cx="5994400" cy="422910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4400" cy="4229100"/>
                    </a:xfrm>
                    <a:prstGeom prst="rect">
                      <a:avLst/>
                    </a:prstGeom>
                    <a:noFill/>
                    <a:ln>
                      <a:noFill/>
                    </a:ln>
                  </pic:spPr>
                </pic:pic>
              </a:graphicData>
            </a:graphic>
          </wp:inline>
        </w:drawing>
      </w:r>
    </w:p>
    <w:p w:rsidR="00DE184C" w:rsidRDefault="00DE184C" w:rsidP="00DE184C">
      <w:pPr>
        <w:tabs>
          <w:tab w:val="left" w:pos="916"/>
        </w:tabs>
        <w:ind w:firstLine="709"/>
        <w:jc w:val="both"/>
        <w:rPr>
          <w:snapToGrid w:val="0"/>
          <w:sz w:val="28"/>
          <w:szCs w:val="28"/>
          <w:lang w:eastAsia="ru-RU"/>
        </w:rPr>
      </w:pPr>
      <w:r>
        <w:rPr>
          <w:snapToGrid w:val="0"/>
          <w:sz w:val="28"/>
          <w:szCs w:val="28"/>
          <w:lang w:eastAsia="ru-RU"/>
        </w:rPr>
        <w:lastRenderedPageBreak/>
        <w:t>В 2019 році порівняно з фактичними надходженнями 2018 року зростання  доходної частини загального фонду місцевого бюджету було заплановано на 32,3% або  /+/429 898,2 тис. грн, в тому числі:</w:t>
      </w:r>
      <w:r>
        <w:rPr>
          <w:snapToGrid w:val="0"/>
          <w:sz w:val="28"/>
          <w:szCs w:val="28"/>
          <w:lang w:val="ru-RU" w:eastAsia="ru-RU"/>
        </w:rPr>
        <w:t xml:space="preserve"> </w:t>
      </w:r>
      <w:proofErr w:type="spellStart"/>
      <w:r>
        <w:rPr>
          <w:snapToGrid w:val="0"/>
          <w:sz w:val="28"/>
          <w:szCs w:val="28"/>
          <w:lang w:eastAsia="ru-RU"/>
        </w:rPr>
        <w:t>пдфо</w:t>
      </w:r>
      <w:proofErr w:type="spellEnd"/>
      <w:r>
        <w:rPr>
          <w:snapToGrid w:val="0"/>
          <w:sz w:val="28"/>
          <w:szCs w:val="28"/>
          <w:lang w:eastAsia="ru-RU"/>
        </w:rPr>
        <w:t xml:space="preserve"> – на 42,7% або /+/                   386 142,3 тис. грн;</w:t>
      </w:r>
      <w:r>
        <w:rPr>
          <w:snapToGrid w:val="0"/>
          <w:sz w:val="28"/>
          <w:szCs w:val="28"/>
          <w:lang w:val="ru-RU" w:eastAsia="ru-RU"/>
        </w:rPr>
        <w:t xml:space="preserve"> </w:t>
      </w:r>
      <w:r>
        <w:rPr>
          <w:snapToGrid w:val="0"/>
          <w:sz w:val="28"/>
          <w:szCs w:val="28"/>
          <w:lang w:eastAsia="ru-RU"/>
        </w:rPr>
        <w:t>податок на майно в частині  земельного податку – на 5,2% /+/ 8 772,9 тис. грн;</w:t>
      </w:r>
      <w:r>
        <w:rPr>
          <w:snapToGrid w:val="0"/>
          <w:sz w:val="28"/>
          <w:szCs w:val="28"/>
          <w:lang w:val="ru-RU" w:eastAsia="ru-RU"/>
        </w:rPr>
        <w:t xml:space="preserve"> </w:t>
      </w:r>
      <w:r>
        <w:rPr>
          <w:snapToGrid w:val="0"/>
          <w:sz w:val="28"/>
          <w:szCs w:val="28"/>
          <w:lang w:eastAsia="ru-RU"/>
        </w:rPr>
        <w:t>єдиний податок -  на 23,9% або/+/ 26 518,8 тис. грн;</w:t>
      </w:r>
      <w:r>
        <w:rPr>
          <w:snapToGrid w:val="0"/>
          <w:sz w:val="28"/>
          <w:szCs w:val="28"/>
          <w:lang w:val="ru-RU" w:eastAsia="ru-RU"/>
        </w:rPr>
        <w:t xml:space="preserve"> </w:t>
      </w:r>
      <w:r>
        <w:rPr>
          <w:snapToGrid w:val="0"/>
          <w:sz w:val="28"/>
          <w:szCs w:val="28"/>
          <w:lang w:eastAsia="ru-RU"/>
        </w:rPr>
        <w:t>акцизний податок (14000000) – на 5,7% або /+/ 6 112,8 тис. грн.</w:t>
      </w:r>
    </w:p>
    <w:p w:rsidR="00DE184C" w:rsidRDefault="00DE184C" w:rsidP="00DE184C">
      <w:pPr>
        <w:tabs>
          <w:tab w:val="left" w:pos="916"/>
        </w:tabs>
        <w:ind w:firstLine="709"/>
        <w:jc w:val="both"/>
        <w:rPr>
          <w:snapToGrid w:val="0"/>
          <w:sz w:val="28"/>
          <w:szCs w:val="28"/>
          <w:lang w:eastAsia="ru-RU"/>
        </w:rPr>
      </w:pPr>
    </w:p>
    <w:p w:rsidR="00DE184C" w:rsidRDefault="00DE184C" w:rsidP="00DE184C">
      <w:pPr>
        <w:tabs>
          <w:tab w:val="left" w:pos="916"/>
        </w:tabs>
        <w:ind w:firstLine="709"/>
        <w:jc w:val="both"/>
        <w:rPr>
          <w:snapToGrid w:val="0"/>
          <w:sz w:val="28"/>
          <w:szCs w:val="28"/>
          <w:lang w:eastAsia="ru-RU"/>
        </w:rPr>
      </w:pPr>
      <w:r>
        <w:rPr>
          <w:snapToGrid w:val="0"/>
          <w:sz w:val="28"/>
          <w:szCs w:val="28"/>
          <w:lang w:eastAsia="ru-RU"/>
        </w:rPr>
        <w:t xml:space="preserve">За 2019 рік  порівняно з 2018 роком  фактичні  надходження до загального фонду зросли на 12,8% або /+/ 169 779,0 тис. грн, в тому числі по: </w:t>
      </w:r>
      <w:proofErr w:type="spellStart"/>
      <w:r>
        <w:rPr>
          <w:snapToGrid w:val="0"/>
          <w:sz w:val="28"/>
          <w:szCs w:val="28"/>
          <w:lang w:eastAsia="ru-RU"/>
        </w:rPr>
        <w:t>пдфо</w:t>
      </w:r>
      <w:proofErr w:type="spellEnd"/>
      <w:r>
        <w:rPr>
          <w:snapToGrid w:val="0"/>
          <w:sz w:val="28"/>
          <w:szCs w:val="28"/>
          <w:lang w:eastAsia="ru-RU"/>
        </w:rPr>
        <w:t xml:space="preserve"> на 14,1% або /+/ 127 906,2 тис. грн; єдиному податку на 25,7% /+/   28 535,0 тис. грн; податку на майно в частині земельного податку  на                         6,0% або /+/ 10 246,5 тис. грн;</w:t>
      </w:r>
      <w:r>
        <w:rPr>
          <w:lang w:eastAsia="ru-RU"/>
        </w:rPr>
        <w:t xml:space="preserve"> </w:t>
      </w:r>
      <w:r>
        <w:rPr>
          <w:snapToGrid w:val="0"/>
          <w:sz w:val="28"/>
          <w:szCs w:val="28"/>
          <w:lang w:eastAsia="ru-RU"/>
        </w:rPr>
        <w:t xml:space="preserve">акцизному податку з реалізації суб’єктами господарювання роздрібної торгівлі підакцизних товарів на 4,1% /+/                       1 860,1 тис. грн. </w:t>
      </w:r>
    </w:p>
    <w:p w:rsidR="00DE184C" w:rsidRDefault="00DE184C" w:rsidP="00DE184C">
      <w:pPr>
        <w:tabs>
          <w:tab w:val="left" w:pos="916"/>
        </w:tabs>
        <w:ind w:firstLine="709"/>
        <w:jc w:val="both"/>
        <w:rPr>
          <w:snapToGrid w:val="0"/>
          <w:sz w:val="28"/>
          <w:szCs w:val="28"/>
          <w:lang w:eastAsia="ru-RU"/>
        </w:rPr>
      </w:pPr>
    </w:p>
    <w:p w:rsidR="00DE184C" w:rsidRDefault="00DE184C" w:rsidP="00DE184C">
      <w:pPr>
        <w:tabs>
          <w:tab w:val="left" w:pos="916"/>
        </w:tabs>
        <w:ind w:firstLine="7938"/>
        <w:jc w:val="both"/>
        <w:rPr>
          <w:bCs/>
          <w:iCs/>
          <w:sz w:val="28"/>
          <w:szCs w:val="28"/>
          <w:lang w:eastAsia="ru-RU"/>
        </w:rPr>
      </w:pPr>
      <w:r>
        <w:rPr>
          <w:bCs/>
          <w:iCs/>
          <w:sz w:val="28"/>
          <w:szCs w:val="28"/>
          <w:lang w:eastAsia="ru-RU"/>
        </w:rPr>
        <w:t>тис. грн</w:t>
      </w:r>
    </w:p>
    <w:p w:rsidR="00DE184C" w:rsidRDefault="00DE184C" w:rsidP="00DE184C">
      <w:pPr>
        <w:tabs>
          <w:tab w:val="left" w:pos="916"/>
        </w:tabs>
        <w:jc w:val="both"/>
        <w:rPr>
          <w:snapToGrid w:val="0"/>
          <w:sz w:val="28"/>
          <w:szCs w:val="28"/>
          <w:lang w:eastAsia="ru-RU"/>
        </w:rPr>
      </w:pPr>
      <w:r>
        <w:rPr>
          <w:noProof/>
          <w:lang w:val="ru-RU" w:eastAsia="ru-RU"/>
        </w:rPr>
        <w:drawing>
          <wp:inline distT="0" distB="0" distL="0" distR="0">
            <wp:extent cx="6121400" cy="553720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1400" cy="5537200"/>
                    </a:xfrm>
                    <a:prstGeom prst="rect">
                      <a:avLst/>
                    </a:prstGeom>
                    <a:noFill/>
                    <a:ln>
                      <a:noFill/>
                    </a:ln>
                  </pic:spPr>
                </pic:pic>
              </a:graphicData>
            </a:graphic>
          </wp:inline>
        </w:drawing>
      </w:r>
    </w:p>
    <w:p w:rsidR="00DE184C" w:rsidRDefault="00DE184C" w:rsidP="00DE184C">
      <w:pPr>
        <w:tabs>
          <w:tab w:val="left" w:pos="916"/>
        </w:tabs>
        <w:ind w:firstLine="709"/>
        <w:jc w:val="both"/>
        <w:rPr>
          <w:bCs/>
          <w:iCs/>
          <w:color w:val="FF0000"/>
          <w:sz w:val="28"/>
          <w:szCs w:val="28"/>
          <w:lang w:eastAsia="ru-RU"/>
        </w:rPr>
      </w:pPr>
      <w:r>
        <w:rPr>
          <w:snapToGrid w:val="0"/>
          <w:sz w:val="28"/>
          <w:szCs w:val="28"/>
          <w:lang w:eastAsia="ru-RU"/>
        </w:rPr>
        <w:lastRenderedPageBreak/>
        <w:t>Значне зниження надходжень порівняно з 2018 роком відбулося по: акцизному податку з виробленого в Україні та ввезеного на митну територію України пального на  4,9% або /-/ 3 061,5 тис. грн; платі за надання інших адміністративних послуг  на 18,5% /-/ 2 365,6 тис. грн</w:t>
      </w:r>
      <w:r>
        <w:rPr>
          <w:lang w:eastAsia="ru-RU"/>
        </w:rPr>
        <w:t xml:space="preserve"> </w:t>
      </w:r>
      <w:r>
        <w:rPr>
          <w:sz w:val="28"/>
          <w:szCs w:val="28"/>
          <w:lang w:eastAsia="ru-RU"/>
        </w:rPr>
        <w:t>(зменшився</w:t>
      </w:r>
      <w:r>
        <w:rPr>
          <w:snapToGrid w:val="0"/>
          <w:sz w:val="28"/>
          <w:szCs w:val="28"/>
          <w:lang w:eastAsia="ru-RU"/>
        </w:rPr>
        <w:t xml:space="preserve"> попит на закордонні паспорти).</w:t>
      </w:r>
      <w:r>
        <w:rPr>
          <w:bCs/>
          <w:iCs/>
          <w:color w:val="FF0000"/>
          <w:sz w:val="28"/>
          <w:szCs w:val="28"/>
          <w:lang w:eastAsia="ru-RU"/>
        </w:rPr>
        <w:t xml:space="preserve"> </w:t>
      </w:r>
    </w:p>
    <w:p w:rsidR="00072E4A" w:rsidRDefault="00072E4A" w:rsidP="00DE184C">
      <w:pPr>
        <w:tabs>
          <w:tab w:val="left" w:pos="916"/>
        </w:tabs>
        <w:ind w:firstLine="709"/>
        <w:jc w:val="both"/>
        <w:rPr>
          <w:bCs/>
          <w:iCs/>
          <w:color w:val="FF0000"/>
          <w:sz w:val="28"/>
          <w:szCs w:val="28"/>
          <w:lang w:eastAsia="ru-RU"/>
        </w:rPr>
      </w:pPr>
    </w:p>
    <w:p w:rsidR="00DE184C" w:rsidRDefault="00DE184C" w:rsidP="00DE184C">
      <w:pPr>
        <w:tabs>
          <w:tab w:val="left" w:pos="916"/>
        </w:tabs>
        <w:ind w:firstLine="7513"/>
        <w:jc w:val="both"/>
        <w:rPr>
          <w:bCs/>
          <w:iCs/>
          <w:sz w:val="28"/>
          <w:szCs w:val="28"/>
          <w:lang w:eastAsia="ru-RU"/>
        </w:rPr>
      </w:pPr>
      <w:r>
        <w:rPr>
          <w:bCs/>
          <w:iCs/>
          <w:sz w:val="28"/>
          <w:szCs w:val="28"/>
          <w:lang w:eastAsia="ru-RU"/>
        </w:rPr>
        <w:t>тис. грн</w:t>
      </w:r>
    </w:p>
    <w:p w:rsidR="00DE184C" w:rsidRDefault="00DE184C" w:rsidP="00DE184C">
      <w:pPr>
        <w:tabs>
          <w:tab w:val="left" w:pos="916"/>
        </w:tabs>
        <w:jc w:val="center"/>
        <w:rPr>
          <w:snapToGrid w:val="0"/>
          <w:color w:val="FF0000"/>
          <w:sz w:val="28"/>
          <w:szCs w:val="28"/>
          <w:lang w:val="ru-RU" w:eastAsia="ru-RU"/>
        </w:rPr>
      </w:pPr>
      <w:r>
        <w:rPr>
          <w:noProof/>
          <w:lang w:val="ru-RU" w:eastAsia="ru-RU"/>
        </w:rPr>
        <w:drawing>
          <wp:inline distT="0" distB="0" distL="0" distR="0">
            <wp:extent cx="6121400" cy="65151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0" cy="6515100"/>
                    </a:xfrm>
                    <a:prstGeom prst="rect">
                      <a:avLst/>
                    </a:prstGeom>
                    <a:noFill/>
                    <a:ln>
                      <a:noFill/>
                    </a:ln>
                  </pic:spPr>
                </pic:pic>
              </a:graphicData>
            </a:graphic>
          </wp:inline>
        </w:drawing>
      </w:r>
    </w:p>
    <w:p w:rsidR="00DE184C" w:rsidRDefault="00DE184C" w:rsidP="00DE184C">
      <w:pPr>
        <w:tabs>
          <w:tab w:val="left" w:pos="916"/>
        </w:tabs>
        <w:ind w:firstLine="709"/>
        <w:jc w:val="both"/>
        <w:rPr>
          <w:bCs/>
          <w:iCs/>
          <w:color w:val="FF0000"/>
          <w:sz w:val="28"/>
          <w:szCs w:val="28"/>
          <w:lang w:eastAsia="ru-RU"/>
        </w:rPr>
      </w:pPr>
    </w:p>
    <w:p w:rsidR="00072E4A" w:rsidRDefault="00072E4A" w:rsidP="00DE184C">
      <w:pPr>
        <w:tabs>
          <w:tab w:val="left" w:pos="916"/>
        </w:tabs>
        <w:ind w:firstLine="709"/>
        <w:jc w:val="both"/>
        <w:rPr>
          <w:bCs/>
          <w:iCs/>
          <w:color w:val="FF0000"/>
          <w:sz w:val="28"/>
          <w:szCs w:val="28"/>
          <w:lang w:eastAsia="ru-RU"/>
        </w:rPr>
      </w:pPr>
    </w:p>
    <w:p w:rsidR="00DE184C" w:rsidRDefault="00DE184C" w:rsidP="00DE184C">
      <w:pPr>
        <w:tabs>
          <w:tab w:val="left" w:pos="916"/>
        </w:tabs>
        <w:ind w:firstLine="709"/>
        <w:jc w:val="both"/>
        <w:rPr>
          <w:bCs/>
          <w:iCs/>
          <w:color w:val="FF0000"/>
          <w:sz w:val="28"/>
          <w:szCs w:val="28"/>
          <w:lang w:eastAsia="ru-RU"/>
        </w:rPr>
      </w:pPr>
      <w:r>
        <w:rPr>
          <w:bCs/>
          <w:iCs/>
          <w:color w:val="FF0000"/>
          <w:sz w:val="28"/>
          <w:szCs w:val="28"/>
          <w:lang w:eastAsia="ru-RU"/>
        </w:rPr>
        <w:t xml:space="preserve">                                                                                                         </w:t>
      </w:r>
    </w:p>
    <w:p w:rsidR="00DE184C" w:rsidRDefault="00DE184C" w:rsidP="00DE184C">
      <w:pPr>
        <w:keepNext/>
        <w:tabs>
          <w:tab w:val="left" w:pos="916"/>
        </w:tabs>
        <w:ind w:firstLine="709"/>
        <w:jc w:val="center"/>
        <w:outlineLvl w:val="0"/>
        <w:rPr>
          <w:b/>
          <w:bCs/>
          <w:iCs/>
          <w:sz w:val="28"/>
          <w:szCs w:val="28"/>
          <w:lang w:eastAsia="ru-RU"/>
        </w:rPr>
      </w:pPr>
      <w:r>
        <w:rPr>
          <w:b/>
          <w:bCs/>
          <w:iCs/>
          <w:sz w:val="28"/>
          <w:szCs w:val="28"/>
          <w:lang w:eastAsia="ru-RU"/>
        </w:rPr>
        <w:lastRenderedPageBreak/>
        <w:t>СПЕЦІАЛЬНИЙ ФОНД</w:t>
      </w:r>
    </w:p>
    <w:p w:rsidR="00DE184C" w:rsidRDefault="00DE184C" w:rsidP="00DE184C">
      <w:pPr>
        <w:tabs>
          <w:tab w:val="left" w:pos="916"/>
        </w:tabs>
        <w:autoSpaceDE w:val="0"/>
        <w:autoSpaceDN w:val="0"/>
        <w:adjustRightInd w:val="0"/>
        <w:spacing w:after="120"/>
        <w:ind w:firstLine="709"/>
        <w:jc w:val="both"/>
        <w:rPr>
          <w:kern w:val="2"/>
          <w:sz w:val="28"/>
          <w:szCs w:val="28"/>
          <w:lang w:eastAsia="ru-RU"/>
        </w:rPr>
      </w:pPr>
      <w:r>
        <w:rPr>
          <w:b/>
          <w:kern w:val="2"/>
          <w:sz w:val="28"/>
          <w:szCs w:val="28"/>
          <w:lang w:eastAsia="ru-RU"/>
        </w:rPr>
        <w:t>По</w:t>
      </w:r>
      <w:r>
        <w:rPr>
          <w:kern w:val="2"/>
          <w:sz w:val="28"/>
          <w:szCs w:val="28"/>
          <w:lang w:eastAsia="ru-RU"/>
        </w:rPr>
        <w:t xml:space="preserve"> </w:t>
      </w:r>
      <w:r>
        <w:rPr>
          <w:b/>
          <w:kern w:val="2"/>
          <w:sz w:val="28"/>
          <w:szCs w:val="28"/>
          <w:lang w:eastAsia="ru-RU"/>
        </w:rPr>
        <w:t xml:space="preserve">спеціальному фонду </w:t>
      </w:r>
      <w:r>
        <w:rPr>
          <w:kern w:val="2"/>
          <w:sz w:val="28"/>
          <w:szCs w:val="28"/>
          <w:lang w:eastAsia="ru-RU"/>
        </w:rPr>
        <w:t>при затвердженому уточненому річному  плані  на 2019 рік (без урахування офіційних трансфертів) – 81 278,4 тис. грн фактично надійшло – 79 502,8  тис. грн, виконання до річного плану  склало 97,8%; по офіційних трансфертах при плані 13 923,8 тис. грн фактично надійшло 8 504,7 тис. грн або 61,1%. Всього при уточненому річному плані спеціального фонду 95 202,2 тис. грн  фактично отримано 88 007,4 тис. грн або 92,4%.</w:t>
      </w:r>
    </w:p>
    <w:p w:rsidR="00DE184C" w:rsidRDefault="00DE184C" w:rsidP="00DE184C">
      <w:pPr>
        <w:tabs>
          <w:tab w:val="left" w:pos="916"/>
        </w:tabs>
        <w:autoSpaceDE w:val="0"/>
        <w:autoSpaceDN w:val="0"/>
        <w:adjustRightInd w:val="0"/>
        <w:spacing w:after="120"/>
        <w:ind w:firstLine="709"/>
        <w:jc w:val="both"/>
        <w:rPr>
          <w:kern w:val="2"/>
          <w:sz w:val="28"/>
          <w:szCs w:val="28"/>
          <w:lang w:eastAsia="ru-RU"/>
        </w:rPr>
      </w:pPr>
    </w:p>
    <w:p w:rsidR="00DE184C" w:rsidRDefault="00DE184C" w:rsidP="00DE184C">
      <w:pPr>
        <w:tabs>
          <w:tab w:val="left" w:pos="916"/>
        </w:tabs>
        <w:autoSpaceDE w:val="0"/>
        <w:autoSpaceDN w:val="0"/>
        <w:adjustRightInd w:val="0"/>
        <w:spacing w:after="120"/>
        <w:ind w:firstLine="709"/>
        <w:jc w:val="right"/>
        <w:rPr>
          <w:iCs/>
          <w:kern w:val="2"/>
          <w:sz w:val="28"/>
          <w:szCs w:val="28"/>
          <w:lang w:val="ru-RU" w:eastAsia="ru-RU"/>
        </w:rPr>
      </w:pPr>
      <w:r>
        <w:rPr>
          <w:iCs/>
          <w:kern w:val="2"/>
          <w:sz w:val="28"/>
          <w:szCs w:val="28"/>
          <w:lang w:val="ru-RU" w:eastAsia="ru-RU"/>
        </w:rPr>
        <w:t>тис</w:t>
      </w:r>
      <w:proofErr w:type="gramStart"/>
      <w:r>
        <w:rPr>
          <w:iCs/>
          <w:kern w:val="2"/>
          <w:sz w:val="28"/>
          <w:szCs w:val="28"/>
          <w:lang w:val="ru-RU" w:eastAsia="ru-RU"/>
        </w:rPr>
        <w:t>.</w:t>
      </w:r>
      <w:proofErr w:type="gramEnd"/>
      <w:r>
        <w:rPr>
          <w:iCs/>
          <w:kern w:val="2"/>
          <w:sz w:val="28"/>
          <w:szCs w:val="28"/>
          <w:lang w:val="ru-RU" w:eastAsia="ru-RU"/>
        </w:rPr>
        <w:t xml:space="preserve"> </w:t>
      </w:r>
      <w:proofErr w:type="spellStart"/>
      <w:proofErr w:type="gramStart"/>
      <w:r>
        <w:rPr>
          <w:iCs/>
          <w:kern w:val="2"/>
          <w:sz w:val="28"/>
          <w:szCs w:val="28"/>
          <w:lang w:val="ru-RU" w:eastAsia="ru-RU"/>
        </w:rPr>
        <w:t>г</w:t>
      </w:r>
      <w:proofErr w:type="gramEnd"/>
      <w:r>
        <w:rPr>
          <w:iCs/>
          <w:kern w:val="2"/>
          <w:sz w:val="28"/>
          <w:szCs w:val="28"/>
          <w:lang w:val="ru-RU" w:eastAsia="ru-RU"/>
        </w:rPr>
        <w:t>рн</w:t>
      </w:r>
      <w:proofErr w:type="spellEnd"/>
    </w:p>
    <w:p w:rsidR="00DE184C" w:rsidRDefault="00DE184C" w:rsidP="00DE184C">
      <w:pPr>
        <w:tabs>
          <w:tab w:val="left" w:pos="916"/>
        </w:tabs>
        <w:autoSpaceDE w:val="0"/>
        <w:autoSpaceDN w:val="0"/>
        <w:adjustRightInd w:val="0"/>
        <w:spacing w:after="120"/>
        <w:jc w:val="center"/>
        <w:rPr>
          <w:iCs/>
          <w:color w:val="FF0000"/>
          <w:kern w:val="2"/>
          <w:sz w:val="28"/>
          <w:szCs w:val="28"/>
          <w:lang w:val="ru-RU" w:eastAsia="ru-RU"/>
        </w:rPr>
      </w:pPr>
      <w:r>
        <w:rPr>
          <w:noProof/>
          <w:lang w:val="ru-RU" w:eastAsia="ru-RU"/>
        </w:rPr>
        <w:drawing>
          <wp:inline distT="0" distB="0" distL="0" distR="0">
            <wp:extent cx="6121400" cy="626110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1400" cy="6261100"/>
                    </a:xfrm>
                    <a:prstGeom prst="rect">
                      <a:avLst/>
                    </a:prstGeom>
                    <a:noFill/>
                    <a:ln>
                      <a:noFill/>
                    </a:ln>
                  </pic:spPr>
                </pic:pic>
              </a:graphicData>
            </a:graphic>
          </wp:inline>
        </w:drawing>
      </w:r>
    </w:p>
    <w:p w:rsidR="00072E4A" w:rsidRDefault="00072E4A" w:rsidP="00DE184C">
      <w:pPr>
        <w:tabs>
          <w:tab w:val="left" w:pos="916"/>
        </w:tabs>
        <w:ind w:firstLine="709"/>
        <w:jc w:val="both"/>
        <w:rPr>
          <w:sz w:val="28"/>
          <w:szCs w:val="28"/>
          <w:lang w:eastAsia="ru-RU"/>
        </w:rPr>
      </w:pPr>
    </w:p>
    <w:p w:rsidR="00072E4A" w:rsidRDefault="00072E4A"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lastRenderedPageBreak/>
        <w:t xml:space="preserve">Не виконано планові показники на звітну дату по наступних джерелах:         </w:t>
      </w:r>
    </w:p>
    <w:p w:rsidR="00DE184C" w:rsidRDefault="00DE184C" w:rsidP="00DE184C">
      <w:pPr>
        <w:numPr>
          <w:ilvl w:val="0"/>
          <w:numId w:val="3"/>
        </w:numPr>
        <w:tabs>
          <w:tab w:val="left" w:pos="916"/>
          <w:tab w:val="left" w:pos="1134"/>
        </w:tabs>
        <w:ind w:left="0" w:firstLine="709"/>
        <w:contextualSpacing/>
        <w:jc w:val="both"/>
        <w:rPr>
          <w:sz w:val="28"/>
          <w:szCs w:val="28"/>
          <w:lang w:eastAsia="ru-RU"/>
        </w:rPr>
      </w:pPr>
      <w:r>
        <w:rPr>
          <w:sz w:val="28"/>
          <w:szCs w:val="28"/>
          <w:lang w:eastAsia="ru-RU"/>
        </w:rPr>
        <w:t xml:space="preserve">екологічному податку  виконання склало 68,5%, при плані                     5 989,2 тис. грн фактично надійшло 4 102,8  тис. грн або недоотримано   /-/ 1 886,4 тис. грн. В 2019 році </w:t>
      </w:r>
      <w:r>
        <w:rPr>
          <w:snapToGrid w:val="0"/>
          <w:sz w:val="28"/>
          <w:szCs w:val="28"/>
          <w:lang w:eastAsia="ru-RU"/>
        </w:rPr>
        <w:t>в  порівнянні з 2018 роком</w:t>
      </w:r>
      <w:r>
        <w:rPr>
          <w:sz w:val="28"/>
          <w:szCs w:val="28"/>
          <w:lang w:eastAsia="ru-RU"/>
        </w:rPr>
        <w:t xml:space="preserve"> по екологічному податку спостерігається зменшення </w:t>
      </w:r>
      <w:r>
        <w:rPr>
          <w:bCs/>
          <w:iCs/>
          <w:sz w:val="28"/>
          <w:szCs w:val="28"/>
          <w:lang w:eastAsia="ru-RU"/>
        </w:rPr>
        <w:t>надходжень</w:t>
      </w:r>
      <w:r>
        <w:rPr>
          <w:b/>
          <w:i/>
          <w:sz w:val="28"/>
          <w:szCs w:val="28"/>
          <w:lang w:eastAsia="ru-RU"/>
        </w:rPr>
        <w:t xml:space="preserve"> </w:t>
      </w:r>
      <w:r>
        <w:rPr>
          <w:sz w:val="28"/>
          <w:szCs w:val="28"/>
          <w:lang w:eastAsia="ru-RU"/>
        </w:rPr>
        <w:t>на 29,5%                                           /-/ 1 714,7 тис. грн. За поясненням спеціалістів Кременчуцького управління ГУ ДПС у Полтавській області, це пов’язано із зменшенням нарахувань екологічного податку основними платниками у зв’язку із скороченням обсягу викидів забруднюючих речовин;</w:t>
      </w:r>
    </w:p>
    <w:p w:rsidR="00072E4A" w:rsidRDefault="00072E4A" w:rsidP="00072E4A">
      <w:pPr>
        <w:tabs>
          <w:tab w:val="left" w:pos="916"/>
          <w:tab w:val="left" w:pos="1134"/>
        </w:tabs>
        <w:ind w:left="709"/>
        <w:contextualSpacing/>
        <w:jc w:val="both"/>
        <w:rPr>
          <w:sz w:val="28"/>
          <w:szCs w:val="28"/>
          <w:lang w:eastAsia="ru-RU"/>
        </w:rPr>
      </w:pPr>
    </w:p>
    <w:p w:rsidR="00DE184C" w:rsidRDefault="00DE184C" w:rsidP="00DE184C">
      <w:pPr>
        <w:numPr>
          <w:ilvl w:val="0"/>
          <w:numId w:val="3"/>
        </w:numPr>
        <w:tabs>
          <w:tab w:val="left" w:pos="916"/>
          <w:tab w:val="left" w:pos="1134"/>
        </w:tabs>
        <w:ind w:left="0" w:firstLine="709"/>
        <w:contextualSpacing/>
        <w:jc w:val="both"/>
        <w:rPr>
          <w:sz w:val="28"/>
          <w:szCs w:val="28"/>
          <w:lang w:eastAsia="ru-RU"/>
        </w:rPr>
      </w:pPr>
      <w:r>
        <w:rPr>
          <w:sz w:val="28"/>
          <w:szCs w:val="28"/>
          <w:lang w:eastAsia="ru-RU"/>
        </w:rPr>
        <w:t>відсотках за користування довгостроковим кредитом, що надається з місцевих бюджетів молодим сім'ям та одиноким молодим громадянам на будівництво (реконструкцію) та придбання житла, виконання склало 69,5%, при плані  40,0 тис. грн  фактично надійшло 27,8  тис. грн або недоотримано /-/         12,2 тис. грн.</w:t>
      </w:r>
      <w:r>
        <w:rPr>
          <w:lang w:eastAsia="ru-RU"/>
        </w:rPr>
        <w:t xml:space="preserve"> </w:t>
      </w:r>
      <w:r>
        <w:rPr>
          <w:sz w:val="28"/>
          <w:szCs w:val="28"/>
          <w:lang w:eastAsia="ru-RU"/>
        </w:rPr>
        <w:t xml:space="preserve">В 2019 році  порівняно з 2018 роком спостерігається зменшення надходжень на 18,2%/-/6,2 тис. грн. При плануванні було враховано пропозиції </w:t>
      </w:r>
      <w:r>
        <w:rPr>
          <w:sz w:val="28"/>
          <w:szCs w:val="28"/>
        </w:rPr>
        <w:t xml:space="preserve"> Полтавського регіонального управління Державної спеціалізованої фінансової установи «Державний фонд сприяння молодіжному житловому будівництву</w:t>
      </w:r>
      <w:r>
        <w:rPr>
          <w:b/>
          <w:sz w:val="28"/>
          <w:szCs w:val="28"/>
        </w:rPr>
        <w:t xml:space="preserve">». </w:t>
      </w:r>
      <w:r>
        <w:rPr>
          <w:sz w:val="28"/>
          <w:szCs w:val="28"/>
        </w:rPr>
        <w:t>Невиконання пояснюється наданням пільги сім’ї з дітьми на підставі постанови КМУ від 29.05.2001 №584</w:t>
      </w:r>
      <w:r>
        <w:rPr>
          <w:sz w:val="28"/>
          <w:szCs w:val="28"/>
          <w:lang w:eastAsia="ru-RU"/>
        </w:rPr>
        <w:t>;</w:t>
      </w:r>
    </w:p>
    <w:p w:rsidR="00072E4A" w:rsidRDefault="00072E4A" w:rsidP="00072E4A">
      <w:pPr>
        <w:tabs>
          <w:tab w:val="left" w:pos="916"/>
          <w:tab w:val="left" w:pos="1134"/>
        </w:tabs>
        <w:ind w:left="709"/>
        <w:contextualSpacing/>
        <w:jc w:val="both"/>
        <w:rPr>
          <w:sz w:val="28"/>
          <w:szCs w:val="28"/>
          <w:lang w:eastAsia="ru-RU"/>
        </w:rPr>
      </w:pPr>
    </w:p>
    <w:p w:rsidR="00DE184C" w:rsidRPr="00072E4A" w:rsidRDefault="00DE184C" w:rsidP="00DE184C">
      <w:pPr>
        <w:numPr>
          <w:ilvl w:val="0"/>
          <w:numId w:val="3"/>
        </w:numPr>
        <w:tabs>
          <w:tab w:val="left" w:pos="916"/>
          <w:tab w:val="left" w:pos="1134"/>
        </w:tabs>
        <w:ind w:left="0" w:firstLine="709"/>
        <w:contextualSpacing/>
        <w:jc w:val="both"/>
        <w:rPr>
          <w:rFonts w:eastAsia="Calibri"/>
          <w:sz w:val="28"/>
          <w:szCs w:val="28"/>
          <w:lang w:eastAsia="en-US"/>
        </w:rPr>
      </w:pPr>
      <w:r>
        <w:rPr>
          <w:sz w:val="28"/>
          <w:szCs w:val="28"/>
          <w:lang w:eastAsia="ru-RU"/>
        </w:rPr>
        <w:t>цільових фондах – 99,3% /-/11,1 тис. грн, при  уточненому плані              1 715,0  тис. грн  фактично отримано 1 703,9 тис. грн.</w:t>
      </w:r>
      <w:r>
        <w:rPr>
          <w:lang w:eastAsia="ru-RU"/>
        </w:rPr>
        <w:t xml:space="preserve"> </w:t>
      </w:r>
      <w:r>
        <w:rPr>
          <w:sz w:val="28"/>
          <w:szCs w:val="28"/>
          <w:lang w:eastAsia="ru-RU"/>
        </w:rPr>
        <w:t>В той же час в 2019 році  порівняно з 2018 роком спостерігається збільшення надходжень на 19,7%/+/ 279,8 тис. грн. Було враховано пропозиції управління економіки</w:t>
      </w:r>
      <w:r>
        <w:rPr>
          <w:sz w:val="28"/>
          <w:szCs w:val="28"/>
        </w:rPr>
        <w:t xml:space="preserve"> </w:t>
      </w:r>
      <w:r>
        <w:rPr>
          <w:sz w:val="28"/>
          <w:szCs w:val="28"/>
          <w:lang w:eastAsia="ru-RU"/>
        </w:rPr>
        <w:t xml:space="preserve">щодо збільшення планових показників та очікувалось укласти більшу кількість договорів </w:t>
      </w:r>
      <w:r>
        <w:rPr>
          <w:sz w:val="28"/>
          <w:szCs w:val="28"/>
        </w:rPr>
        <w:t>на розміщення  сезонних тимчасових пересувних споруд та для здійснення святкової торгівлі на вулицях міста;</w:t>
      </w:r>
    </w:p>
    <w:p w:rsidR="00072E4A" w:rsidRDefault="00072E4A" w:rsidP="00072E4A">
      <w:pPr>
        <w:tabs>
          <w:tab w:val="left" w:pos="916"/>
          <w:tab w:val="left" w:pos="1134"/>
        </w:tabs>
        <w:contextualSpacing/>
        <w:jc w:val="both"/>
        <w:rPr>
          <w:rFonts w:eastAsia="Calibri"/>
          <w:sz w:val="28"/>
          <w:szCs w:val="28"/>
          <w:lang w:eastAsia="en-US"/>
        </w:rPr>
      </w:pPr>
    </w:p>
    <w:p w:rsidR="00072E4A" w:rsidRPr="00072E4A" w:rsidRDefault="00DE184C" w:rsidP="00072E4A">
      <w:pPr>
        <w:numPr>
          <w:ilvl w:val="0"/>
          <w:numId w:val="3"/>
        </w:numPr>
        <w:tabs>
          <w:tab w:val="left" w:pos="916"/>
          <w:tab w:val="left" w:pos="1134"/>
        </w:tabs>
        <w:ind w:left="0" w:firstLine="709"/>
        <w:contextualSpacing/>
        <w:jc w:val="both"/>
        <w:rPr>
          <w:rFonts w:eastAsia="Calibri"/>
          <w:sz w:val="28"/>
          <w:szCs w:val="28"/>
          <w:lang w:eastAsia="en-US"/>
        </w:rPr>
      </w:pPr>
      <w:r>
        <w:rPr>
          <w:sz w:val="28"/>
          <w:szCs w:val="28"/>
          <w:lang w:eastAsia="ru-RU"/>
        </w:rPr>
        <w:t>власних надходженнях бюджетних установ  виконання забезпечено на 97,2%, при  плані 55 930,9 тис. грн фактично отримано 54 373,5 тис. грн                  /-/ 1 557,4 тис. грн.</w:t>
      </w:r>
      <w:r>
        <w:rPr>
          <w:rFonts w:eastAsia="Calibri"/>
          <w:sz w:val="28"/>
          <w:szCs w:val="28"/>
          <w:lang w:eastAsia="en-US"/>
        </w:rPr>
        <w:t xml:space="preserve"> По коду 25000000 «Власні надходження бюджетних установ»  невиконання планових показників пояснюється наступним:</w:t>
      </w:r>
    </w:p>
    <w:p w:rsidR="00DE184C" w:rsidRDefault="00DE184C" w:rsidP="00DE184C">
      <w:pPr>
        <w:numPr>
          <w:ilvl w:val="0"/>
          <w:numId w:val="4"/>
        </w:numPr>
        <w:tabs>
          <w:tab w:val="left" w:pos="916"/>
          <w:tab w:val="left" w:pos="1134"/>
        </w:tabs>
        <w:spacing w:after="200"/>
        <w:ind w:left="0" w:firstLine="709"/>
        <w:contextualSpacing/>
        <w:jc w:val="both"/>
        <w:rPr>
          <w:rFonts w:eastAsia="Calibri"/>
          <w:sz w:val="28"/>
          <w:szCs w:val="28"/>
          <w:lang w:eastAsia="en-US"/>
        </w:rPr>
      </w:pPr>
      <w:r>
        <w:rPr>
          <w:rFonts w:eastAsia="Calibri"/>
          <w:sz w:val="28"/>
          <w:szCs w:val="28"/>
          <w:lang w:eastAsia="en-US"/>
        </w:rPr>
        <w:t>в закладах освіти зменшилася плата батьків за харчування дітей в зв’язку з захворюваністю дітей, в міжшкільному навчально-виробничому комбінаті зменшилася кількість учнів що навчаються на курсах за спеціальністю «Водій транспортних засобів категорії «В»; не всі приміщення що планувалося орендовані а також існують борги від орендарів;</w:t>
      </w:r>
    </w:p>
    <w:p w:rsidR="00DE184C" w:rsidRPr="00072E4A" w:rsidRDefault="00DE184C" w:rsidP="00DE184C">
      <w:pPr>
        <w:numPr>
          <w:ilvl w:val="0"/>
          <w:numId w:val="4"/>
        </w:numPr>
        <w:tabs>
          <w:tab w:val="left" w:pos="916"/>
          <w:tab w:val="left" w:pos="1134"/>
        </w:tabs>
        <w:spacing w:after="200"/>
        <w:ind w:left="0" w:firstLine="709"/>
        <w:contextualSpacing/>
        <w:jc w:val="both"/>
        <w:rPr>
          <w:sz w:val="28"/>
          <w:szCs w:val="28"/>
          <w:lang w:eastAsia="ru-RU"/>
        </w:rPr>
      </w:pPr>
      <w:r>
        <w:rPr>
          <w:rFonts w:eastAsia="Calibri"/>
          <w:sz w:val="28"/>
          <w:szCs w:val="28"/>
          <w:lang w:eastAsia="en-US"/>
        </w:rPr>
        <w:t>зменшенням доходів ДЗОВ «Зоряний», а саме було реалізовано менше путівок з оздоровлення дітей, ніж планувалося; надавалися путівки не повної тривалості (інклюзивне оздоровлення, колективи, інше); було оздоровлено менше людей поважного віку.</w:t>
      </w:r>
    </w:p>
    <w:p w:rsidR="00072E4A" w:rsidRDefault="00072E4A" w:rsidP="00072E4A">
      <w:pPr>
        <w:tabs>
          <w:tab w:val="left" w:pos="916"/>
          <w:tab w:val="left" w:pos="1134"/>
        </w:tabs>
        <w:spacing w:after="200"/>
        <w:contextualSpacing/>
        <w:jc w:val="both"/>
        <w:rPr>
          <w:rFonts w:eastAsia="Calibri"/>
          <w:sz w:val="28"/>
          <w:szCs w:val="28"/>
          <w:lang w:eastAsia="en-US"/>
        </w:rPr>
      </w:pPr>
    </w:p>
    <w:p w:rsidR="00072E4A" w:rsidRDefault="00072E4A" w:rsidP="00072E4A">
      <w:pPr>
        <w:tabs>
          <w:tab w:val="left" w:pos="916"/>
          <w:tab w:val="left" w:pos="1134"/>
        </w:tabs>
        <w:spacing w:after="200"/>
        <w:contextualSpacing/>
        <w:jc w:val="both"/>
        <w:rPr>
          <w:rFonts w:eastAsia="Calibri"/>
          <w:sz w:val="28"/>
          <w:szCs w:val="28"/>
          <w:lang w:eastAsia="en-US"/>
        </w:rPr>
      </w:pPr>
    </w:p>
    <w:p w:rsidR="00DE184C" w:rsidRDefault="00DE184C" w:rsidP="00DE184C">
      <w:pPr>
        <w:tabs>
          <w:tab w:val="left" w:pos="916"/>
          <w:tab w:val="left" w:pos="1290"/>
        </w:tabs>
        <w:spacing w:after="200" w:line="276" w:lineRule="auto"/>
        <w:ind w:firstLine="709"/>
        <w:contextualSpacing/>
        <w:jc w:val="both"/>
        <w:rPr>
          <w:iCs/>
          <w:color w:val="FF0000"/>
          <w:sz w:val="28"/>
          <w:szCs w:val="28"/>
          <w:lang w:eastAsia="ru-RU"/>
        </w:rPr>
      </w:pPr>
      <w:r>
        <w:rPr>
          <w:rFonts w:eastAsia="Calibri"/>
          <w:sz w:val="28"/>
          <w:szCs w:val="28"/>
          <w:lang w:eastAsia="en-US"/>
        </w:rPr>
        <w:lastRenderedPageBreak/>
        <w:tab/>
        <w:t xml:space="preserve">                                                             </w:t>
      </w:r>
      <w:r>
        <w:rPr>
          <w:sz w:val="28"/>
          <w:szCs w:val="28"/>
          <w:lang w:eastAsia="ru-RU"/>
        </w:rPr>
        <w:t xml:space="preserve">                                   </w:t>
      </w:r>
      <w:r>
        <w:rPr>
          <w:iCs/>
          <w:sz w:val="28"/>
          <w:szCs w:val="28"/>
          <w:lang w:eastAsia="ru-RU"/>
        </w:rPr>
        <w:t>тис. грн</w:t>
      </w:r>
    </w:p>
    <w:p w:rsidR="00DE184C" w:rsidRDefault="00DE184C" w:rsidP="00DE184C">
      <w:pPr>
        <w:tabs>
          <w:tab w:val="left" w:pos="916"/>
        </w:tabs>
        <w:jc w:val="right"/>
        <w:rPr>
          <w:iCs/>
          <w:color w:val="FF0000"/>
          <w:sz w:val="28"/>
          <w:szCs w:val="28"/>
          <w:lang w:eastAsia="ru-RU"/>
        </w:rPr>
      </w:pPr>
      <w:r>
        <w:rPr>
          <w:noProof/>
          <w:lang w:val="ru-RU" w:eastAsia="ru-RU"/>
        </w:rPr>
        <w:drawing>
          <wp:inline distT="0" distB="0" distL="0" distR="0">
            <wp:extent cx="6121400" cy="63754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1400" cy="6375400"/>
                    </a:xfrm>
                    <a:prstGeom prst="rect">
                      <a:avLst/>
                    </a:prstGeom>
                    <a:noFill/>
                    <a:ln>
                      <a:noFill/>
                    </a:ln>
                  </pic:spPr>
                </pic:pic>
              </a:graphicData>
            </a:graphic>
          </wp:inline>
        </w:drawing>
      </w:r>
    </w:p>
    <w:p w:rsidR="00072E4A" w:rsidRDefault="00072E4A" w:rsidP="00072E4A">
      <w:pPr>
        <w:tabs>
          <w:tab w:val="left" w:pos="916"/>
        </w:tabs>
        <w:autoSpaceDE w:val="0"/>
        <w:autoSpaceDN w:val="0"/>
        <w:adjustRightInd w:val="0"/>
        <w:spacing w:after="120"/>
        <w:jc w:val="both"/>
        <w:rPr>
          <w:kern w:val="2"/>
          <w:sz w:val="28"/>
          <w:szCs w:val="28"/>
          <w:lang w:eastAsia="ru-RU"/>
        </w:rPr>
      </w:pPr>
    </w:p>
    <w:p w:rsidR="00DE184C" w:rsidRDefault="00DE184C" w:rsidP="00DE184C">
      <w:pPr>
        <w:tabs>
          <w:tab w:val="left" w:pos="916"/>
        </w:tabs>
        <w:autoSpaceDE w:val="0"/>
        <w:autoSpaceDN w:val="0"/>
        <w:adjustRightInd w:val="0"/>
        <w:spacing w:after="120"/>
        <w:ind w:firstLine="709"/>
        <w:jc w:val="both"/>
        <w:rPr>
          <w:kern w:val="2"/>
          <w:sz w:val="28"/>
          <w:szCs w:val="28"/>
          <w:lang w:eastAsia="ru-RU"/>
        </w:rPr>
      </w:pPr>
      <w:r>
        <w:rPr>
          <w:kern w:val="2"/>
          <w:sz w:val="28"/>
          <w:szCs w:val="28"/>
          <w:lang w:eastAsia="ru-RU"/>
        </w:rPr>
        <w:t>Без плану надійшли грошові стягнення за шкоду, заподіяну порушенням законодавства про охорону навколишнього природного середовища внаслідок господарської та іншої діяльності  на суму 21,4 тис. грн.</w:t>
      </w:r>
    </w:p>
    <w:p w:rsidR="00072E4A" w:rsidRDefault="00072E4A"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iCs/>
          <w:sz w:val="28"/>
          <w:szCs w:val="28"/>
          <w:lang w:eastAsia="ru-RU"/>
        </w:rPr>
      </w:pPr>
      <w:r>
        <w:rPr>
          <w:sz w:val="28"/>
          <w:szCs w:val="28"/>
          <w:lang w:eastAsia="ru-RU"/>
        </w:rPr>
        <w:t>В місті постійно здійснювались відповідні заходи щодо наповнення доходної частини міського бюджету та виконання запланованих показників. Вживались заходи, спрямовані на скорочення податкового боргу.</w:t>
      </w:r>
    </w:p>
    <w:p w:rsidR="00DE184C" w:rsidRDefault="00DE184C" w:rsidP="00DE184C">
      <w:pPr>
        <w:tabs>
          <w:tab w:val="left" w:pos="916"/>
        </w:tabs>
        <w:ind w:firstLine="709"/>
        <w:jc w:val="center"/>
        <w:rPr>
          <w:b/>
          <w:bCs/>
          <w:sz w:val="28"/>
          <w:szCs w:val="28"/>
          <w:lang w:eastAsia="ru-RU"/>
        </w:rPr>
      </w:pPr>
    </w:p>
    <w:p w:rsidR="00DE184C" w:rsidRDefault="00DE184C" w:rsidP="00DE184C">
      <w:pPr>
        <w:tabs>
          <w:tab w:val="left" w:pos="916"/>
          <w:tab w:val="left" w:pos="7020"/>
        </w:tabs>
        <w:ind w:firstLine="709"/>
        <w:rPr>
          <w:b/>
          <w:sz w:val="28"/>
          <w:szCs w:val="28"/>
          <w:lang w:eastAsia="ru-RU"/>
        </w:rPr>
      </w:pPr>
    </w:p>
    <w:p w:rsidR="00072E4A" w:rsidRDefault="00072E4A" w:rsidP="00DE184C">
      <w:pPr>
        <w:tabs>
          <w:tab w:val="left" w:pos="916"/>
          <w:tab w:val="left" w:pos="7020"/>
        </w:tabs>
        <w:ind w:firstLine="709"/>
        <w:rPr>
          <w:b/>
          <w:sz w:val="28"/>
          <w:szCs w:val="28"/>
          <w:lang w:eastAsia="ru-RU"/>
        </w:rPr>
      </w:pPr>
    </w:p>
    <w:p w:rsidR="00DE184C" w:rsidRDefault="00DE184C" w:rsidP="00DE184C">
      <w:pPr>
        <w:pStyle w:val="a3"/>
        <w:tabs>
          <w:tab w:val="left" w:pos="916"/>
        </w:tabs>
        <w:ind w:firstLine="709"/>
        <w:rPr>
          <w:szCs w:val="28"/>
        </w:rPr>
      </w:pPr>
      <w:r>
        <w:rPr>
          <w:szCs w:val="28"/>
        </w:rPr>
        <w:lastRenderedPageBreak/>
        <w:t>ВИДАТКИ</w:t>
      </w:r>
    </w:p>
    <w:p w:rsidR="00DE184C" w:rsidRDefault="00DE184C" w:rsidP="00DE184C">
      <w:pPr>
        <w:pStyle w:val="a3"/>
        <w:tabs>
          <w:tab w:val="left" w:pos="916"/>
        </w:tabs>
        <w:ind w:firstLine="709"/>
        <w:rPr>
          <w:szCs w:val="28"/>
        </w:rPr>
      </w:pPr>
    </w:p>
    <w:p w:rsidR="00DE184C" w:rsidRDefault="00DE184C" w:rsidP="00DE184C">
      <w:pPr>
        <w:widowControl w:val="0"/>
        <w:tabs>
          <w:tab w:val="left" w:pos="709"/>
          <w:tab w:val="left" w:pos="916"/>
        </w:tabs>
        <w:ind w:firstLine="709"/>
        <w:jc w:val="both"/>
        <w:rPr>
          <w:sz w:val="28"/>
          <w:szCs w:val="28"/>
        </w:rPr>
      </w:pPr>
      <w:r>
        <w:rPr>
          <w:sz w:val="28"/>
          <w:szCs w:val="28"/>
        </w:rPr>
        <w:t>Видатки бюджету міста Кременчука на 2019 рік були затверджені в обсязі  2 623 508,8 тис. грн, а саме:</w:t>
      </w:r>
    </w:p>
    <w:p w:rsidR="00DE184C" w:rsidRDefault="00DE184C" w:rsidP="00DE184C">
      <w:pPr>
        <w:widowControl w:val="0"/>
        <w:tabs>
          <w:tab w:val="left" w:pos="709"/>
          <w:tab w:val="left" w:pos="916"/>
        </w:tabs>
        <w:ind w:firstLine="709"/>
        <w:jc w:val="both"/>
        <w:rPr>
          <w:sz w:val="28"/>
          <w:szCs w:val="28"/>
        </w:rPr>
      </w:pPr>
      <w:r>
        <w:rPr>
          <w:sz w:val="28"/>
          <w:szCs w:val="28"/>
        </w:rPr>
        <w:t>- видатки загального фонду місцевого бюджету – 2 224 335,6 тис. грн, у тому числі субвенції з державного бюджету та обласного бюджету  –               798 040,2 тис. грн (освітня субвенція – 247 591,1 тис. грн, медична  –                 40 678,1 тис. грн, інші – 509 771,0 тис. грн);</w:t>
      </w:r>
    </w:p>
    <w:p w:rsidR="00DE184C" w:rsidRDefault="00DE184C" w:rsidP="00DE184C">
      <w:pPr>
        <w:widowControl w:val="0"/>
        <w:tabs>
          <w:tab w:val="left" w:pos="709"/>
          <w:tab w:val="left" w:pos="916"/>
        </w:tabs>
        <w:ind w:firstLine="709"/>
        <w:jc w:val="both"/>
        <w:rPr>
          <w:sz w:val="28"/>
          <w:szCs w:val="28"/>
        </w:rPr>
      </w:pPr>
      <w:r>
        <w:rPr>
          <w:sz w:val="28"/>
          <w:szCs w:val="28"/>
        </w:rPr>
        <w:t xml:space="preserve">- видатки спеціального фонду місцевого бюджету – 399 173,2 тис. грн,             (з них субвенції з обласного бюджету – 1 370,0 тис. грн) у тому числі кошти що передаються із загального фонду до бюджету розвитку –333 850,2 тис. грн. </w:t>
      </w:r>
    </w:p>
    <w:p w:rsidR="00DE184C" w:rsidRDefault="00DE184C" w:rsidP="00DE184C">
      <w:pPr>
        <w:tabs>
          <w:tab w:val="left" w:pos="916"/>
        </w:tabs>
        <w:ind w:firstLine="709"/>
        <w:jc w:val="both"/>
        <w:rPr>
          <w:sz w:val="28"/>
          <w:szCs w:val="28"/>
        </w:rPr>
      </w:pPr>
      <w:r>
        <w:rPr>
          <w:sz w:val="28"/>
          <w:szCs w:val="28"/>
        </w:rPr>
        <w:t>Видатки на кредитування по спеціальному фонду передбачені в сумі 4 705,0 тис. грн.</w:t>
      </w:r>
    </w:p>
    <w:p w:rsidR="00DE184C" w:rsidRDefault="00DE184C" w:rsidP="00DE184C">
      <w:pPr>
        <w:tabs>
          <w:tab w:val="left" w:pos="916"/>
        </w:tabs>
        <w:ind w:firstLine="709"/>
        <w:jc w:val="both"/>
        <w:rPr>
          <w:sz w:val="28"/>
          <w:szCs w:val="28"/>
        </w:rPr>
      </w:pPr>
      <w:r>
        <w:rPr>
          <w:sz w:val="28"/>
          <w:szCs w:val="28"/>
        </w:rPr>
        <w:t>Відповідно до Бюджетного кодексу України здійснено горизонтальне вирівнювання податкоспроможності міського бюджету. Враховуючи вищезазначене визначена реверсна дотація до Державного бюджету у сумі 86 978,0 тис. грн.</w:t>
      </w:r>
    </w:p>
    <w:p w:rsidR="00DE184C" w:rsidRDefault="00DE184C" w:rsidP="00DE184C">
      <w:pPr>
        <w:tabs>
          <w:tab w:val="left" w:pos="916"/>
        </w:tabs>
        <w:ind w:firstLine="709"/>
        <w:jc w:val="both"/>
        <w:rPr>
          <w:sz w:val="28"/>
          <w:szCs w:val="28"/>
        </w:rPr>
      </w:pPr>
    </w:p>
    <w:p w:rsidR="00DE184C" w:rsidRDefault="00DE184C" w:rsidP="00DE184C">
      <w:pPr>
        <w:tabs>
          <w:tab w:val="left" w:pos="916"/>
        </w:tabs>
        <w:ind w:firstLine="709"/>
        <w:jc w:val="both"/>
        <w:rPr>
          <w:sz w:val="28"/>
          <w:szCs w:val="28"/>
        </w:rPr>
      </w:pPr>
      <w:r>
        <w:rPr>
          <w:sz w:val="28"/>
          <w:szCs w:val="28"/>
        </w:rPr>
        <w:t>Протягом поточного року видатки загального фонду  були зменшені на 41 046,1 тис. грн (в основному це відбувалося за рахунок зменшення трансфертів).</w:t>
      </w:r>
    </w:p>
    <w:p w:rsidR="00DE184C" w:rsidRDefault="00DE184C" w:rsidP="00DE184C">
      <w:pPr>
        <w:pStyle w:val="a3"/>
        <w:tabs>
          <w:tab w:val="left" w:pos="916"/>
        </w:tabs>
        <w:ind w:firstLine="709"/>
        <w:jc w:val="both"/>
        <w:rPr>
          <w:b w:val="0"/>
          <w:szCs w:val="28"/>
        </w:rPr>
      </w:pPr>
      <w:r>
        <w:rPr>
          <w:b w:val="0"/>
          <w:szCs w:val="28"/>
        </w:rPr>
        <w:t xml:space="preserve">Затверджені видатки спеціального фонду навпаки були збільшені на 3 759,1 тис. грн. </w:t>
      </w:r>
    </w:p>
    <w:p w:rsidR="00DE184C" w:rsidRDefault="00DE184C" w:rsidP="00DE184C">
      <w:pPr>
        <w:pStyle w:val="a3"/>
        <w:tabs>
          <w:tab w:val="left" w:pos="916"/>
        </w:tabs>
        <w:ind w:firstLine="709"/>
        <w:jc w:val="both"/>
        <w:rPr>
          <w:szCs w:val="28"/>
        </w:rPr>
      </w:pPr>
    </w:p>
    <w:p w:rsidR="00DE184C" w:rsidRDefault="00DE184C" w:rsidP="00DE184C">
      <w:pPr>
        <w:pStyle w:val="FR1"/>
        <w:tabs>
          <w:tab w:val="left" w:pos="916"/>
          <w:tab w:val="left" w:pos="1440"/>
        </w:tabs>
        <w:suppressAutoHyphens/>
        <w:spacing w:line="240" w:lineRule="auto"/>
        <w:ind w:firstLine="709"/>
        <w:jc w:val="both"/>
        <w:rPr>
          <w:szCs w:val="28"/>
        </w:rPr>
      </w:pPr>
      <w:r>
        <w:rPr>
          <w:szCs w:val="28"/>
        </w:rPr>
        <w:t>Видатки на кредитування по спеціальному фонду були збільшені на                     105,6 тис. грн і склали 4 810,6 тис. грн.</w:t>
      </w:r>
    </w:p>
    <w:p w:rsidR="00DE184C" w:rsidRDefault="00DE184C" w:rsidP="00DE184C">
      <w:pPr>
        <w:tabs>
          <w:tab w:val="left" w:pos="916"/>
        </w:tabs>
        <w:ind w:firstLine="709"/>
        <w:jc w:val="both"/>
        <w:rPr>
          <w:sz w:val="28"/>
          <w:szCs w:val="28"/>
        </w:rPr>
      </w:pPr>
      <w:r>
        <w:rPr>
          <w:sz w:val="28"/>
          <w:szCs w:val="28"/>
        </w:rPr>
        <w:t xml:space="preserve">Кошторисні призначення бюджетних установ також були збільшені за рахунок збільшення власних надходжень бюджетних установ спеціального фонду. </w:t>
      </w:r>
    </w:p>
    <w:p w:rsidR="00DE184C" w:rsidRDefault="00DE184C" w:rsidP="00DE184C">
      <w:pPr>
        <w:pStyle w:val="FR1"/>
        <w:tabs>
          <w:tab w:val="left" w:pos="916"/>
          <w:tab w:val="left" w:pos="1440"/>
        </w:tabs>
        <w:suppressAutoHyphens/>
        <w:spacing w:line="240" w:lineRule="auto"/>
        <w:ind w:firstLine="709"/>
        <w:jc w:val="both"/>
        <w:rPr>
          <w:szCs w:val="28"/>
        </w:rPr>
      </w:pPr>
      <w:r>
        <w:rPr>
          <w:szCs w:val="28"/>
        </w:rPr>
        <w:t xml:space="preserve">Таким чином, затверджені видатки місцевого бюджету міста Кременчука на 2019 рік з урахуванням внесених змін склали </w:t>
      </w:r>
      <w:r w:rsidR="00072E4A">
        <w:rPr>
          <w:szCs w:val="28"/>
        </w:rPr>
        <w:t xml:space="preserve">                           </w:t>
      </w:r>
      <w:r>
        <w:rPr>
          <w:szCs w:val="28"/>
        </w:rPr>
        <w:t>2 573 378,9 тис. грн, в тому числі:</w:t>
      </w:r>
    </w:p>
    <w:p w:rsidR="00DE184C" w:rsidRDefault="00DE184C" w:rsidP="00DE184C">
      <w:pPr>
        <w:pStyle w:val="FR1"/>
        <w:tabs>
          <w:tab w:val="left" w:pos="916"/>
          <w:tab w:val="num" w:pos="1260"/>
        </w:tabs>
        <w:suppressAutoHyphens/>
        <w:spacing w:line="240" w:lineRule="auto"/>
        <w:ind w:firstLine="709"/>
        <w:jc w:val="both"/>
        <w:rPr>
          <w:szCs w:val="28"/>
        </w:rPr>
      </w:pPr>
      <w:r>
        <w:rPr>
          <w:szCs w:val="28"/>
        </w:rPr>
        <w:t>- видатки загального фонду місцевого бюджету затверджені в сумі 2 183 289,5 тис. грн;</w:t>
      </w:r>
    </w:p>
    <w:p w:rsidR="00DE184C" w:rsidRDefault="00DE184C" w:rsidP="00DE184C">
      <w:pPr>
        <w:pStyle w:val="FR1"/>
        <w:tabs>
          <w:tab w:val="left" w:pos="916"/>
          <w:tab w:val="num" w:pos="1260"/>
        </w:tabs>
        <w:suppressAutoHyphens/>
        <w:spacing w:line="240" w:lineRule="auto"/>
        <w:ind w:firstLine="709"/>
        <w:jc w:val="both"/>
        <w:rPr>
          <w:szCs w:val="28"/>
        </w:rPr>
      </w:pPr>
      <w:r>
        <w:rPr>
          <w:szCs w:val="28"/>
        </w:rPr>
        <w:t>- кошторисні призначення на рік з урахуванням внесених змін по спеціальному фонду складають 390 089,4 тис. грн, в тому числі бюджет розвитку – 335 894,0 тис. грн.</w:t>
      </w:r>
    </w:p>
    <w:p w:rsidR="00DE184C" w:rsidRDefault="00DE184C" w:rsidP="00DE184C">
      <w:pPr>
        <w:pStyle w:val="FR1"/>
        <w:tabs>
          <w:tab w:val="left" w:pos="916"/>
          <w:tab w:val="num" w:pos="1260"/>
        </w:tabs>
        <w:suppressAutoHyphens/>
        <w:spacing w:line="240" w:lineRule="auto"/>
        <w:ind w:firstLine="709"/>
        <w:jc w:val="both"/>
        <w:rPr>
          <w:szCs w:val="28"/>
        </w:rPr>
      </w:pPr>
    </w:p>
    <w:p w:rsidR="00DE184C" w:rsidRDefault="00DE184C" w:rsidP="00DE184C">
      <w:pPr>
        <w:pStyle w:val="FR1"/>
        <w:tabs>
          <w:tab w:val="left" w:pos="916"/>
          <w:tab w:val="num" w:pos="1260"/>
        </w:tabs>
        <w:suppressAutoHyphens/>
        <w:spacing w:line="240" w:lineRule="auto"/>
        <w:ind w:firstLine="709"/>
        <w:jc w:val="both"/>
        <w:rPr>
          <w:szCs w:val="28"/>
        </w:rPr>
      </w:pPr>
      <w:r>
        <w:rPr>
          <w:szCs w:val="28"/>
        </w:rPr>
        <w:t>Видатки загального фонду станом на 01.01.2020 склали                1 986 320,6 тис. грн, що складає 91,0% (касові видатки взяті зі звіту, наданого управлінням державної казначейської служби України у м. Кременчук Полтавської області).</w:t>
      </w:r>
    </w:p>
    <w:p w:rsidR="00DE184C" w:rsidRDefault="00DE184C" w:rsidP="00DE184C">
      <w:pPr>
        <w:pStyle w:val="FR1"/>
        <w:tabs>
          <w:tab w:val="left" w:pos="916"/>
          <w:tab w:val="left" w:pos="1440"/>
        </w:tabs>
        <w:suppressAutoHyphens/>
        <w:spacing w:line="240" w:lineRule="auto"/>
        <w:ind w:firstLine="709"/>
        <w:jc w:val="both"/>
        <w:rPr>
          <w:szCs w:val="28"/>
        </w:rPr>
      </w:pPr>
      <w:r>
        <w:rPr>
          <w:szCs w:val="28"/>
        </w:rPr>
        <w:t xml:space="preserve">Структура видатків загального фонду бюджету м. Кременчука за 2019 рік по основним галузям представлена у вигляді діаграми. </w:t>
      </w:r>
    </w:p>
    <w:p w:rsidR="00DE184C" w:rsidRDefault="00DE184C" w:rsidP="00DE184C">
      <w:pPr>
        <w:pStyle w:val="FR1"/>
        <w:tabs>
          <w:tab w:val="left" w:pos="916"/>
          <w:tab w:val="left" w:pos="1440"/>
        </w:tabs>
        <w:suppressAutoHyphens/>
        <w:spacing w:line="240" w:lineRule="auto"/>
        <w:ind w:firstLine="709"/>
        <w:jc w:val="both"/>
        <w:rPr>
          <w:szCs w:val="28"/>
        </w:rPr>
      </w:pPr>
    </w:p>
    <w:p w:rsidR="00DE184C" w:rsidRDefault="00DE184C" w:rsidP="00DE184C">
      <w:pPr>
        <w:pStyle w:val="FR1"/>
        <w:tabs>
          <w:tab w:val="left" w:pos="916"/>
          <w:tab w:val="left" w:pos="1440"/>
        </w:tabs>
        <w:suppressAutoHyphens/>
        <w:spacing w:line="240" w:lineRule="auto"/>
        <w:ind w:firstLine="0"/>
        <w:jc w:val="both"/>
        <w:rPr>
          <w:color w:val="FF0000"/>
          <w:szCs w:val="28"/>
        </w:rPr>
      </w:pPr>
      <w:r>
        <w:rPr>
          <w:noProof/>
          <w:lang w:val="ru-RU"/>
        </w:rPr>
        <w:drawing>
          <wp:inline distT="0" distB="0" distL="0" distR="0">
            <wp:extent cx="6007100" cy="51943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7100" cy="5194300"/>
                    </a:xfrm>
                    <a:prstGeom prst="rect">
                      <a:avLst/>
                    </a:prstGeom>
                    <a:noFill/>
                    <a:ln>
                      <a:noFill/>
                    </a:ln>
                  </pic:spPr>
                </pic:pic>
              </a:graphicData>
            </a:graphic>
          </wp:inline>
        </w:drawing>
      </w:r>
    </w:p>
    <w:p w:rsidR="00DE184C" w:rsidRDefault="00DE184C" w:rsidP="00DE184C">
      <w:pPr>
        <w:pStyle w:val="FR1"/>
        <w:tabs>
          <w:tab w:val="left" w:pos="916"/>
          <w:tab w:val="left" w:pos="1440"/>
        </w:tabs>
        <w:suppressAutoHyphens/>
        <w:spacing w:line="240" w:lineRule="auto"/>
        <w:ind w:firstLine="709"/>
        <w:jc w:val="both"/>
        <w:rPr>
          <w:szCs w:val="28"/>
        </w:rPr>
      </w:pPr>
    </w:p>
    <w:p w:rsidR="00DE184C" w:rsidRDefault="00DE184C" w:rsidP="00DE184C">
      <w:pPr>
        <w:pStyle w:val="FR1"/>
        <w:tabs>
          <w:tab w:val="left" w:pos="916"/>
          <w:tab w:val="left" w:pos="1440"/>
        </w:tabs>
        <w:suppressAutoHyphens/>
        <w:spacing w:line="240" w:lineRule="auto"/>
        <w:ind w:firstLine="709"/>
        <w:jc w:val="both"/>
        <w:rPr>
          <w:szCs w:val="28"/>
        </w:rPr>
      </w:pPr>
      <w:r>
        <w:rPr>
          <w:szCs w:val="28"/>
        </w:rPr>
        <w:t>Реверсна дотація передбачена на рік в сумі 86 978,0 тис. грн. За 2019 рік було вилучено 86 978,0 тис. грн, тобто  100,0%.</w:t>
      </w:r>
    </w:p>
    <w:p w:rsidR="00DE184C" w:rsidRDefault="00DE184C" w:rsidP="00DE184C">
      <w:pPr>
        <w:pStyle w:val="FR1"/>
        <w:tabs>
          <w:tab w:val="left" w:pos="916"/>
          <w:tab w:val="left" w:pos="1440"/>
        </w:tabs>
        <w:suppressAutoHyphens/>
        <w:spacing w:line="240" w:lineRule="auto"/>
        <w:ind w:firstLine="709"/>
        <w:jc w:val="both"/>
        <w:rPr>
          <w:szCs w:val="28"/>
        </w:rPr>
      </w:pPr>
    </w:p>
    <w:p w:rsidR="00DE184C" w:rsidRDefault="00DE184C" w:rsidP="00DE184C">
      <w:pPr>
        <w:pStyle w:val="FR1"/>
        <w:tabs>
          <w:tab w:val="left" w:pos="916"/>
        </w:tabs>
        <w:spacing w:line="240" w:lineRule="auto"/>
        <w:ind w:firstLine="709"/>
        <w:jc w:val="both"/>
        <w:rPr>
          <w:szCs w:val="28"/>
        </w:rPr>
      </w:pPr>
      <w:r>
        <w:rPr>
          <w:szCs w:val="28"/>
        </w:rPr>
        <w:t xml:space="preserve">За рахунок </w:t>
      </w:r>
      <w:r>
        <w:rPr>
          <w:b/>
          <w:szCs w:val="28"/>
        </w:rPr>
        <w:t>резервного  фонду</w:t>
      </w:r>
      <w:r>
        <w:rPr>
          <w:szCs w:val="28"/>
        </w:rPr>
        <w:t xml:space="preserve"> з місцевого бюджету за 2019  рік виділено 3 262,3 тис. грн,  профінансовано 2 654,3 тис. грн. Фінансування проводилось відповідно до актів виконаних робіт.</w:t>
      </w:r>
    </w:p>
    <w:p w:rsidR="00DE184C" w:rsidRDefault="00DE184C" w:rsidP="00DE184C">
      <w:pPr>
        <w:pStyle w:val="FR1"/>
        <w:tabs>
          <w:tab w:val="left" w:pos="916"/>
          <w:tab w:val="left" w:pos="1440"/>
        </w:tabs>
        <w:suppressAutoHyphens/>
        <w:spacing w:line="240" w:lineRule="auto"/>
        <w:ind w:firstLine="709"/>
        <w:jc w:val="both"/>
        <w:rPr>
          <w:color w:val="FF0000"/>
          <w:szCs w:val="28"/>
        </w:rPr>
      </w:pPr>
    </w:p>
    <w:p w:rsidR="00DE184C" w:rsidRDefault="00DE184C" w:rsidP="00DE184C">
      <w:pPr>
        <w:pStyle w:val="FR1"/>
        <w:tabs>
          <w:tab w:val="left" w:pos="916"/>
          <w:tab w:val="num" w:pos="1260"/>
        </w:tabs>
        <w:suppressAutoHyphens/>
        <w:spacing w:line="240" w:lineRule="auto"/>
        <w:ind w:firstLine="709"/>
        <w:jc w:val="both"/>
        <w:rPr>
          <w:szCs w:val="28"/>
        </w:rPr>
      </w:pPr>
      <w:r>
        <w:rPr>
          <w:szCs w:val="28"/>
        </w:rPr>
        <w:t>Видатки загального фонду на оплату праці і нарахування на заробітну плату працівникам бюджетної сфери (з урахуванням видатків згідно планів використання по галузі «Охорона здоров’я») станом на 01.01.2020 року склали 915 947,5 тис. грн при планових призначеннях 931 321,7 тис. грн, що складає 98,3%. Питома вага видатків на заробітну плату з нарахуваннями в загальних видатках склала 46,1%.</w:t>
      </w:r>
    </w:p>
    <w:p w:rsidR="00DE184C" w:rsidRDefault="00DE184C" w:rsidP="00DE184C">
      <w:pPr>
        <w:pStyle w:val="FR1"/>
        <w:tabs>
          <w:tab w:val="left" w:pos="916"/>
          <w:tab w:val="num" w:pos="1260"/>
        </w:tabs>
        <w:suppressAutoHyphens/>
        <w:spacing w:line="240" w:lineRule="auto"/>
        <w:ind w:firstLine="709"/>
        <w:jc w:val="both"/>
        <w:rPr>
          <w:szCs w:val="28"/>
        </w:rPr>
      </w:pPr>
      <w:r>
        <w:rPr>
          <w:szCs w:val="28"/>
        </w:rPr>
        <w:t>Заборгованість по виплаті заробітної плати з нарахуваннями працівникам бюджетних установ станом  на 01.01.2020 року відсутня.</w:t>
      </w:r>
    </w:p>
    <w:p w:rsidR="00DE184C" w:rsidRDefault="00DE184C" w:rsidP="00DE184C">
      <w:pPr>
        <w:tabs>
          <w:tab w:val="left" w:pos="916"/>
        </w:tabs>
        <w:suppressAutoHyphens/>
        <w:ind w:firstLine="709"/>
        <w:jc w:val="both"/>
        <w:rPr>
          <w:sz w:val="28"/>
          <w:szCs w:val="28"/>
        </w:rPr>
      </w:pPr>
      <w:r>
        <w:rPr>
          <w:sz w:val="28"/>
          <w:szCs w:val="28"/>
        </w:rPr>
        <w:lastRenderedPageBreak/>
        <w:t>Видатки на медикаменти (з урахуванням видатків згідно планів використання по галузі «Охорона здоров’я») при плані на 2019 рік                17 291,2 тис. грн склали 14 168,3 тис. грн, що становить 81,9%. Питома вага від загальних витрат загального фонду 0,7%.</w:t>
      </w:r>
    </w:p>
    <w:p w:rsidR="00DE184C" w:rsidRDefault="00DE184C" w:rsidP="00DE184C">
      <w:pPr>
        <w:tabs>
          <w:tab w:val="left" w:pos="916"/>
        </w:tabs>
        <w:suppressAutoHyphens/>
        <w:ind w:firstLine="709"/>
        <w:jc w:val="both"/>
        <w:rPr>
          <w:sz w:val="28"/>
          <w:szCs w:val="28"/>
        </w:rPr>
      </w:pPr>
      <w:r>
        <w:rPr>
          <w:sz w:val="28"/>
          <w:szCs w:val="28"/>
        </w:rPr>
        <w:t xml:space="preserve">Видатки на  продукти   харчування (з урахуванням видатків згідно планів використання по галузі «Охорона здоров’я») при плані </w:t>
      </w:r>
      <w:r w:rsidR="00072E4A">
        <w:rPr>
          <w:sz w:val="28"/>
          <w:szCs w:val="28"/>
        </w:rPr>
        <w:t xml:space="preserve">                          </w:t>
      </w:r>
      <w:r>
        <w:rPr>
          <w:sz w:val="28"/>
          <w:szCs w:val="28"/>
        </w:rPr>
        <w:t xml:space="preserve">46 841,9 тис. грн,  склали 37 390,9 тис. грн, що становить 79,8%. Питома вага від загальних витрат загального фонду 1,9%. </w:t>
      </w:r>
    </w:p>
    <w:p w:rsidR="00DE184C" w:rsidRDefault="00DE184C" w:rsidP="00DE184C">
      <w:pPr>
        <w:pStyle w:val="a3"/>
        <w:tabs>
          <w:tab w:val="left" w:pos="916"/>
        </w:tabs>
        <w:ind w:firstLine="709"/>
        <w:jc w:val="both"/>
        <w:rPr>
          <w:b w:val="0"/>
          <w:szCs w:val="28"/>
        </w:rPr>
      </w:pPr>
      <w:r>
        <w:rPr>
          <w:b w:val="0"/>
          <w:szCs w:val="28"/>
        </w:rPr>
        <w:t>Видатки загального фонду на оплату комунальних послуг та енергоносіїв  (з урахуванням видатків згідно планів використання по галузі «Охорона здоров’я»)</w:t>
      </w:r>
      <w:r>
        <w:rPr>
          <w:szCs w:val="28"/>
        </w:rPr>
        <w:t xml:space="preserve"> </w:t>
      </w:r>
      <w:r>
        <w:rPr>
          <w:b w:val="0"/>
          <w:szCs w:val="28"/>
        </w:rPr>
        <w:t xml:space="preserve">при плані 143 387,0 тис. грн. склали 109 130,5 тис. грн, що становить 76,1%. Питома вага від загальних витрат загального фонду – 5,5%. </w:t>
      </w:r>
    </w:p>
    <w:p w:rsidR="00DE184C" w:rsidRDefault="00DE184C" w:rsidP="00DE184C">
      <w:pPr>
        <w:pStyle w:val="FR1"/>
        <w:tabs>
          <w:tab w:val="left" w:pos="916"/>
          <w:tab w:val="num" w:pos="1260"/>
        </w:tabs>
        <w:suppressAutoHyphens/>
        <w:ind w:firstLine="709"/>
        <w:jc w:val="both"/>
        <w:rPr>
          <w:szCs w:val="28"/>
        </w:rPr>
      </w:pPr>
      <w:r>
        <w:rPr>
          <w:szCs w:val="28"/>
        </w:rPr>
        <w:t xml:space="preserve">Станом на 01.01.2020 року, в зв’язку з невиконанням доходної частини місцевого бюджету, виникла кредиторська заборгованість по загальному фонду в сумі 58 341,3 тис. грн, в </w:t>
      </w:r>
      <w:proofErr w:type="spellStart"/>
      <w:r>
        <w:rPr>
          <w:szCs w:val="28"/>
        </w:rPr>
        <w:t>т.ч</w:t>
      </w:r>
      <w:proofErr w:type="spellEnd"/>
      <w:r>
        <w:rPr>
          <w:szCs w:val="28"/>
        </w:rPr>
        <w:t>.:</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предмети, матеріали, обладнання та інвентар – 7 847,9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медикаменти та перев’язувальні матеріали – 27,9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продукти харчування – 8 115,4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оплата послуг (крім комунальних) – 5 840,8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видатки на відрядження – 298,5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оплата комунальних послуг та енергоносіїв – 23 768,4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дослідження і розробки, окремі заходи по реалізації державних (регіональних) програм – 837,4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субсидії та поточні трансферти підприємствам (установам, організаціям) – 746,8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соціальне забезпечення (пенсії, допомоги, стипендії, інші виплати населенню) – 10 187,1 тис. грн;</w:t>
      </w:r>
    </w:p>
    <w:p w:rsidR="00DE184C" w:rsidRDefault="00DE184C" w:rsidP="00DE184C">
      <w:pPr>
        <w:pStyle w:val="FR1"/>
        <w:numPr>
          <w:ilvl w:val="0"/>
          <w:numId w:val="6"/>
        </w:numPr>
        <w:tabs>
          <w:tab w:val="left" w:pos="0"/>
          <w:tab w:val="left" w:pos="916"/>
        </w:tabs>
        <w:suppressAutoHyphens/>
        <w:spacing w:line="256" w:lineRule="auto"/>
        <w:ind w:left="0" w:firstLine="709"/>
        <w:jc w:val="both"/>
        <w:rPr>
          <w:szCs w:val="28"/>
        </w:rPr>
      </w:pPr>
      <w:r>
        <w:rPr>
          <w:szCs w:val="28"/>
        </w:rPr>
        <w:t>інші поточні видатки – 671,1 тис. грн.</w:t>
      </w:r>
    </w:p>
    <w:p w:rsidR="00DE184C" w:rsidRDefault="00DE184C" w:rsidP="00DE184C">
      <w:pPr>
        <w:pStyle w:val="FR1"/>
        <w:tabs>
          <w:tab w:val="left" w:pos="916"/>
          <w:tab w:val="num" w:pos="1260"/>
        </w:tabs>
        <w:suppressAutoHyphens/>
        <w:spacing w:line="240" w:lineRule="auto"/>
        <w:ind w:firstLine="709"/>
        <w:jc w:val="both"/>
        <w:rPr>
          <w:szCs w:val="28"/>
        </w:rPr>
      </w:pPr>
    </w:p>
    <w:p w:rsidR="00DE184C" w:rsidRDefault="00DE184C" w:rsidP="00DE184C">
      <w:pPr>
        <w:pStyle w:val="FR1"/>
        <w:tabs>
          <w:tab w:val="left" w:pos="916"/>
          <w:tab w:val="num" w:pos="1260"/>
        </w:tabs>
        <w:suppressAutoHyphens/>
        <w:spacing w:line="240" w:lineRule="auto"/>
        <w:ind w:firstLine="709"/>
        <w:jc w:val="both"/>
        <w:rPr>
          <w:szCs w:val="28"/>
        </w:rPr>
      </w:pPr>
      <w:r>
        <w:rPr>
          <w:szCs w:val="28"/>
        </w:rPr>
        <w:t xml:space="preserve">Видатки по </w:t>
      </w:r>
      <w:r>
        <w:rPr>
          <w:b/>
          <w:szCs w:val="28"/>
        </w:rPr>
        <w:t>спеціальному фонду</w:t>
      </w:r>
      <w:r>
        <w:rPr>
          <w:szCs w:val="28"/>
        </w:rPr>
        <w:t xml:space="preserve"> за 2019 рік склали                       269 184,2 тис. грн, при  уточнених річних обсягах кошторисних призначень – 390 089,4 тис. грн,  що складає 69,0%.</w:t>
      </w:r>
    </w:p>
    <w:p w:rsidR="00DE184C" w:rsidRDefault="00DE184C" w:rsidP="00DE184C">
      <w:pPr>
        <w:tabs>
          <w:tab w:val="left" w:pos="916"/>
        </w:tabs>
        <w:suppressAutoHyphens/>
        <w:ind w:firstLine="709"/>
        <w:jc w:val="both"/>
        <w:rPr>
          <w:szCs w:val="28"/>
        </w:rPr>
      </w:pPr>
      <w:r>
        <w:rPr>
          <w:sz w:val="28"/>
          <w:szCs w:val="28"/>
        </w:rPr>
        <w:t>На оплату праці і нарахування на заробітну плату направлено                          10 588,6 тис. грн (заробітна плата працівників, які надають платні послуги в бюджетних установах відповідно до законодавства). На придбання продуктів харчування витрачено 32 850,2 тис. грн, оплату комунальних послуг та енергоносіїв – 1 614,4 тис. грн.</w:t>
      </w:r>
    </w:p>
    <w:p w:rsidR="00DE184C" w:rsidRDefault="00DE184C" w:rsidP="00DE184C">
      <w:pPr>
        <w:pStyle w:val="a3"/>
        <w:tabs>
          <w:tab w:val="left" w:pos="916"/>
        </w:tabs>
        <w:ind w:firstLine="709"/>
        <w:jc w:val="both"/>
        <w:rPr>
          <w:b w:val="0"/>
          <w:szCs w:val="28"/>
        </w:rPr>
      </w:pPr>
      <w:r>
        <w:rPr>
          <w:b w:val="0"/>
          <w:szCs w:val="28"/>
        </w:rPr>
        <w:t xml:space="preserve">Капітальні видатки спеціального фонду бюджету заплановані на рік з урахуванням змін в сумі 340 601,9 тис. грн,  в тому числі бюджет розвитку – 335 269,0 тис. грн, з них капітальні видатки за рахунок коштів, що передаються із загального фонду до бюджету розвитку (спеціального фонду) </w:t>
      </w:r>
      <w:r>
        <w:rPr>
          <w:b w:val="0"/>
          <w:szCs w:val="28"/>
        </w:rPr>
        <w:lastRenderedPageBreak/>
        <w:t>заплановані в сумі 304 405,1 тис. грн. Касові видатки за звітний період склали                        209 705,9 тис. грн, тобто 64,0%.</w:t>
      </w:r>
    </w:p>
    <w:p w:rsidR="00DE184C" w:rsidRDefault="00DE184C" w:rsidP="00DE184C">
      <w:pPr>
        <w:pStyle w:val="a3"/>
        <w:tabs>
          <w:tab w:val="left" w:pos="916"/>
        </w:tabs>
        <w:ind w:firstLine="709"/>
        <w:jc w:val="both"/>
        <w:rPr>
          <w:szCs w:val="28"/>
        </w:rPr>
      </w:pPr>
    </w:p>
    <w:p w:rsidR="00DE184C" w:rsidRDefault="00DE184C" w:rsidP="00DE184C">
      <w:pPr>
        <w:widowControl w:val="0"/>
        <w:tabs>
          <w:tab w:val="left" w:pos="916"/>
          <w:tab w:val="num" w:pos="1260"/>
        </w:tabs>
        <w:suppressAutoHyphens/>
        <w:ind w:firstLine="709"/>
        <w:jc w:val="both"/>
        <w:rPr>
          <w:kern w:val="2"/>
          <w:sz w:val="28"/>
          <w:szCs w:val="28"/>
        </w:rPr>
      </w:pPr>
      <w:r>
        <w:rPr>
          <w:sz w:val="28"/>
          <w:szCs w:val="28"/>
        </w:rPr>
        <w:t>На надання пільг населенню (крім ветеранів війни і праці, військової служби, органів внутрішніх справ та громадян, які постраждали внаслідок Чорнобильської катастрофи) на оплату житлово - комунальних послуг (інваліди по зору, почесні громадяни міста, сім’ї загиблих воїнів-афганців,</w:t>
      </w:r>
      <w:r>
        <w:rPr>
          <w:kern w:val="2"/>
          <w:sz w:val="28"/>
          <w:szCs w:val="28"/>
        </w:rPr>
        <w:t xml:space="preserve"> пільги учасникам АТО та членам їх сімей на послуги з утримання будинків і споруд та прибудинкових територій</w:t>
      </w:r>
      <w:r>
        <w:rPr>
          <w:sz w:val="28"/>
          <w:szCs w:val="28"/>
        </w:rPr>
        <w:t>) в місцевому бюджеті на 2019 рік  було передбачено асигнування в сумі 2</w:t>
      </w:r>
      <w:r>
        <w:rPr>
          <w:sz w:val="28"/>
          <w:szCs w:val="28"/>
          <w:lang w:val="en-US"/>
        </w:rPr>
        <w:t> </w:t>
      </w:r>
      <w:r>
        <w:rPr>
          <w:sz w:val="28"/>
          <w:szCs w:val="28"/>
        </w:rPr>
        <w:t>043,0 тис. грн. В</w:t>
      </w:r>
      <w:r>
        <w:rPr>
          <w:kern w:val="2"/>
          <w:sz w:val="28"/>
          <w:szCs w:val="28"/>
        </w:rPr>
        <w:t xml:space="preserve">идатки за рік склали </w:t>
      </w:r>
      <w:r w:rsidR="00072E4A">
        <w:rPr>
          <w:kern w:val="2"/>
          <w:sz w:val="28"/>
          <w:szCs w:val="28"/>
        </w:rPr>
        <w:t xml:space="preserve">       </w:t>
      </w:r>
      <w:r>
        <w:rPr>
          <w:kern w:val="2"/>
          <w:sz w:val="28"/>
          <w:szCs w:val="28"/>
        </w:rPr>
        <w:t>1 408,8 тис. грн  (69,0 % запланованих річних асигнувань).</w:t>
      </w:r>
    </w:p>
    <w:p w:rsidR="00DE184C" w:rsidRDefault="00DE184C" w:rsidP="00DE184C">
      <w:pPr>
        <w:tabs>
          <w:tab w:val="left" w:pos="916"/>
        </w:tabs>
        <w:ind w:firstLine="709"/>
        <w:jc w:val="both"/>
        <w:rPr>
          <w:sz w:val="28"/>
          <w:szCs w:val="28"/>
        </w:rPr>
      </w:pPr>
      <w:r>
        <w:rPr>
          <w:sz w:val="28"/>
          <w:szCs w:val="28"/>
        </w:rPr>
        <w:t xml:space="preserve">На 2019 рік за рахунок субвенції з місцевого бюджету на виплату грошової компенсації за належні для отримання жилі приміщення для сімей загиблих осіб, визначених абзацами  5-8 пункту 1 статті 10, а також для осіб з інвалідністю І-ІІ групи, визначених пунктами 11-14 частини другої статті 7 Закону України «Про статус ветеранів війни, гарантії їх соціального захисту», та осіб , які втратили функціональні можливості нижніх кінцівок, інвалідність яких настала внаслідок поранення, контузії, каліцтва або захворювання, одержаних під час безпосередньої участі в антитерористичній операції, та потребують поліпшення житлових умов були заплановані кошти в сумі               1 730,4 тис. грн, які використані на призначення грошової компенсації для самостійного придбання  2 квартир особами з інвалідністю І-ІІ групи. </w:t>
      </w:r>
    </w:p>
    <w:p w:rsidR="00DE184C" w:rsidRDefault="00DE184C" w:rsidP="00DE184C">
      <w:pPr>
        <w:tabs>
          <w:tab w:val="left" w:pos="916"/>
          <w:tab w:val="left" w:pos="993"/>
        </w:tabs>
        <w:ind w:firstLine="709"/>
        <w:jc w:val="both"/>
        <w:rPr>
          <w:sz w:val="28"/>
          <w:szCs w:val="28"/>
        </w:rPr>
      </w:pPr>
      <w:r>
        <w:rPr>
          <w:sz w:val="28"/>
          <w:szCs w:val="28"/>
        </w:rPr>
        <w:t>Видатки із місцевого бюджету на житлово-комунальне господарство на 2019 рік визначено в сумі 240 362,1 тис. грн (з них загальний фонд (видатки споживання) – 185 025,8 тис. грн, спеціальний фонд (бюджет розвитку) –  55 336,3 тис. грн), які розподілялися таким чином:  утримання та ефективна експлуатація об’єктів житлово-комунального господарства – 14 478,4 тис. грн, забезпечення функціонування підприємств, установ та організацій, що виробляють, виконують та/або надають житлово-комунальні послуги –                              56 719,2 тис. грн, організація благоустрою населених пунктів –                                 120 022,6 тис. грн, попередження аварій та запобігання техногенним катастрофам у житлово-комунальному господарстві та на інших аварійних об’єктах комунальної власності –3 262,3 тис. грн, реалізація державних та місцевих житлових програм –11 128,5 тис. грн,  інша діяльність у сфері житлово-комунального  господарства – 34 751,1 тис. грн.</w:t>
      </w:r>
    </w:p>
    <w:p w:rsidR="00DE184C" w:rsidRDefault="00DE184C" w:rsidP="00DE184C">
      <w:pPr>
        <w:tabs>
          <w:tab w:val="left" w:pos="916"/>
          <w:tab w:val="left" w:pos="993"/>
        </w:tabs>
        <w:ind w:firstLine="709"/>
        <w:jc w:val="both"/>
        <w:rPr>
          <w:sz w:val="28"/>
          <w:szCs w:val="28"/>
        </w:rPr>
      </w:pPr>
      <w:r>
        <w:rPr>
          <w:sz w:val="28"/>
          <w:szCs w:val="28"/>
        </w:rPr>
        <w:t xml:space="preserve">Видатки на житлово-комунальне господарство за 2019 рік склали                    187 586,8 тис. грн (78,0 % запланованих річних асигнувань), в </w:t>
      </w:r>
      <w:proofErr w:type="spellStart"/>
      <w:r>
        <w:rPr>
          <w:sz w:val="28"/>
          <w:szCs w:val="28"/>
        </w:rPr>
        <w:t>т.ч</w:t>
      </w:r>
      <w:proofErr w:type="spellEnd"/>
      <w:r>
        <w:rPr>
          <w:sz w:val="28"/>
          <w:szCs w:val="28"/>
        </w:rPr>
        <w:t>. утримання та ефективна експлуатація об’єктів житлово-комунального господарства</w:t>
      </w:r>
      <w:r>
        <w:rPr>
          <w:b/>
          <w:sz w:val="28"/>
          <w:szCs w:val="28"/>
        </w:rPr>
        <w:t xml:space="preserve"> </w:t>
      </w:r>
      <w:r>
        <w:rPr>
          <w:sz w:val="28"/>
          <w:szCs w:val="28"/>
        </w:rPr>
        <w:t>–                   8 082,5 тис. грн, забезпечення функціонування підприємств, установ та організацій, що виробляють, виконують та/або надають житлово-комунальні послуги – 46 944,4 тис. грн, благоустрій міста</w:t>
      </w:r>
      <w:r>
        <w:rPr>
          <w:b/>
          <w:sz w:val="28"/>
          <w:szCs w:val="28"/>
        </w:rPr>
        <w:t xml:space="preserve"> </w:t>
      </w:r>
      <w:r>
        <w:rPr>
          <w:sz w:val="28"/>
          <w:szCs w:val="28"/>
        </w:rPr>
        <w:t>– 99 568,9 тис. грн;</w:t>
      </w:r>
      <w:r>
        <w:rPr>
          <w:b/>
          <w:sz w:val="28"/>
          <w:szCs w:val="28"/>
        </w:rPr>
        <w:t xml:space="preserve"> </w:t>
      </w:r>
      <w:r>
        <w:rPr>
          <w:sz w:val="28"/>
          <w:szCs w:val="28"/>
        </w:rPr>
        <w:t>попередження аварій та запобігання техногенним катастрофам у житлово-комунальному господарстві та на інших аварійних об’єктах комунальної власності –</w:t>
      </w:r>
      <w:r w:rsidR="00072E4A">
        <w:rPr>
          <w:sz w:val="28"/>
          <w:szCs w:val="28"/>
        </w:rPr>
        <w:t xml:space="preserve"> </w:t>
      </w:r>
      <w:r>
        <w:rPr>
          <w:sz w:val="28"/>
          <w:szCs w:val="28"/>
        </w:rPr>
        <w:t xml:space="preserve">2 654,3 тис. грн; реалізація державних та місцевих житлових </w:t>
      </w:r>
      <w:r>
        <w:rPr>
          <w:sz w:val="28"/>
          <w:szCs w:val="28"/>
        </w:rPr>
        <w:lastRenderedPageBreak/>
        <w:t>програм –</w:t>
      </w:r>
      <w:r w:rsidR="00072E4A">
        <w:rPr>
          <w:sz w:val="28"/>
          <w:szCs w:val="28"/>
        </w:rPr>
        <w:t xml:space="preserve"> </w:t>
      </w:r>
      <w:r>
        <w:rPr>
          <w:sz w:val="28"/>
          <w:szCs w:val="28"/>
        </w:rPr>
        <w:t xml:space="preserve">5 231,5 тис. грн (придбано житло чотирьом дітям-сиротам за рахунок субвенції </w:t>
      </w:r>
      <w:r>
        <w:rPr>
          <w:rFonts w:eastAsia="Calibri"/>
          <w:bCs/>
          <w:sz w:val="28"/>
          <w:szCs w:val="28"/>
        </w:rPr>
        <w:t xml:space="preserve">з місцевого бюджету на </w:t>
      </w:r>
      <w:r>
        <w:rPr>
          <w:sz w:val="28"/>
          <w:szCs w:val="28"/>
        </w:rPr>
        <w:t xml:space="preserve">проектні, будівельно-ремонтні роботи, придбання житла та приміщень для розвитку сімейних та інших форм виховання, наближених до сімейних, та забезпечення житлом дітей-сиріт, дітей, позбавлених батьківського піклування, осіб з їх числа; </w:t>
      </w:r>
      <w:r>
        <w:rPr>
          <w:rFonts w:eastAsia="Calibri"/>
          <w:bCs/>
          <w:sz w:val="28"/>
          <w:szCs w:val="28"/>
        </w:rPr>
        <w:t>за рахунок коштів місцевого бюджету придбано</w:t>
      </w:r>
      <w:r>
        <w:rPr>
          <w:sz w:val="28"/>
          <w:szCs w:val="28"/>
        </w:rPr>
        <w:t xml:space="preserve"> житло трьом дітям-сиротам;</w:t>
      </w:r>
      <w:r>
        <w:rPr>
          <w:rFonts w:eastAsia="Calibri"/>
          <w:bCs/>
          <w:sz w:val="28"/>
          <w:szCs w:val="28"/>
        </w:rPr>
        <w:t xml:space="preserve"> </w:t>
      </w:r>
      <w:r>
        <w:rPr>
          <w:sz w:val="28"/>
          <w:szCs w:val="28"/>
        </w:rPr>
        <w:t>на виконання місцевих програм забезпечення житлом учасників бойових дій та членів їх сімей в розмірі до 25 % опосередкованої вартості спорудження житла та в межах нормативної площі, що надається громадянам надана допомога 7 сім’ям), інша діяльність у сфері житлово-комунального господарства –                25 105,2 тис. грн.</w:t>
      </w:r>
    </w:p>
    <w:p w:rsidR="00DE184C" w:rsidRDefault="00DE184C" w:rsidP="00DE184C">
      <w:pPr>
        <w:tabs>
          <w:tab w:val="left" w:pos="916"/>
        </w:tabs>
        <w:spacing w:after="120"/>
        <w:ind w:firstLine="709"/>
        <w:jc w:val="both"/>
        <w:rPr>
          <w:sz w:val="28"/>
          <w:szCs w:val="28"/>
        </w:rPr>
      </w:pPr>
      <w:r>
        <w:rPr>
          <w:sz w:val="28"/>
          <w:szCs w:val="28"/>
        </w:rPr>
        <w:t>Видатки на здійснення заходів з землеустрою склали 386,5 тис. грн    (29,6 % від запланованих річних асигнувань – в сумі 1 304,6 тис. грн).</w:t>
      </w:r>
    </w:p>
    <w:p w:rsidR="00DE184C" w:rsidRDefault="00DE184C" w:rsidP="00DE184C">
      <w:pPr>
        <w:tabs>
          <w:tab w:val="left" w:pos="916"/>
        </w:tabs>
        <w:spacing w:after="120"/>
        <w:ind w:firstLine="709"/>
        <w:jc w:val="both"/>
        <w:rPr>
          <w:sz w:val="28"/>
          <w:szCs w:val="28"/>
        </w:rPr>
      </w:pPr>
      <w:r>
        <w:rPr>
          <w:sz w:val="28"/>
          <w:szCs w:val="28"/>
        </w:rPr>
        <w:t xml:space="preserve">На утримання та розвиток наземного електротранспорту  за  2019 рік видатки склали  61 179,8  тис. грн  (98,1 % запланованих річних асигнувань – 62 379,8 тис. грн). </w:t>
      </w:r>
    </w:p>
    <w:p w:rsidR="00DE184C" w:rsidRDefault="00DE184C" w:rsidP="00DE184C">
      <w:pPr>
        <w:tabs>
          <w:tab w:val="left" w:pos="916"/>
        </w:tabs>
        <w:ind w:firstLine="709"/>
        <w:jc w:val="both"/>
        <w:rPr>
          <w:sz w:val="28"/>
          <w:szCs w:val="28"/>
        </w:rPr>
      </w:pPr>
      <w:r>
        <w:rPr>
          <w:sz w:val="28"/>
          <w:szCs w:val="28"/>
        </w:rPr>
        <w:t xml:space="preserve">На утримання та розвиток автомобільних доріг та дорожньої інфраструктури за 2019 рік витрачено 68 209,9 тис. грн,  що складає 87,2% річного плану – 78 194,9 тис. грн. </w:t>
      </w:r>
    </w:p>
    <w:p w:rsidR="00DE184C" w:rsidRDefault="00DE184C" w:rsidP="00DE184C">
      <w:pPr>
        <w:tabs>
          <w:tab w:val="left" w:pos="916"/>
        </w:tabs>
        <w:ind w:firstLine="709"/>
        <w:jc w:val="both"/>
        <w:rPr>
          <w:sz w:val="28"/>
          <w:szCs w:val="28"/>
        </w:rPr>
      </w:pPr>
      <w:r>
        <w:rPr>
          <w:sz w:val="28"/>
          <w:szCs w:val="28"/>
        </w:rPr>
        <w:t xml:space="preserve">На сприяння розвитку малого та середнього підприємництва в місцевому бюджеті на 2019 рік відповідно до міської програми «Програма розвитку малого підприємництва у м. </w:t>
      </w:r>
      <w:proofErr w:type="spellStart"/>
      <w:r>
        <w:rPr>
          <w:sz w:val="28"/>
          <w:szCs w:val="28"/>
        </w:rPr>
        <w:t>Кременчуці</w:t>
      </w:r>
      <w:proofErr w:type="spellEnd"/>
      <w:r>
        <w:rPr>
          <w:sz w:val="28"/>
          <w:szCs w:val="28"/>
        </w:rPr>
        <w:t xml:space="preserve"> на 2018 - 2020 роки» було передбачено 297,0 тис. грн.  Видатки за звітний період склали  161,6 тис. грн (54,4 % річного плану).</w:t>
      </w:r>
    </w:p>
    <w:p w:rsidR="00DE184C" w:rsidRDefault="00DE184C" w:rsidP="00DE184C">
      <w:pPr>
        <w:tabs>
          <w:tab w:val="left" w:pos="916"/>
        </w:tabs>
        <w:ind w:firstLine="709"/>
        <w:jc w:val="both"/>
        <w:rPr>
          <w:sz w:val="28"/>
          <w:szCs w:val="28"/>
        </w:rPr>
      </w:pPr>
      <w:r>
        <w:rPr>
          <w:kern w:val="2"/>
          <w:sz w:val="28"/>
          <w:szCs w:val="28"/>
        </w:rPr>
        <w:t>На заходи з енергозбереження</w:t>
      </w:r>
      <w:r>
        <w:rPr>
          <w:sz w:val="28"/>
          <w:szCs w:val="28"/>
        </w:rPr>
        <w:t xml:space="preserve"> було передбачено асигнування в сумі                     1 867,0 тис. грн. Видатки за звітний період склали 894,0  тис. грн</w:t>
      </w:r>
      <w:r>
        <w:rPr>
          <w:kern w:val="2"/>
          <w:sz w:val="28"/>
          <w:szCs w:val="28"/>
        </w:rPr>
        <w:t xml:space="preserve"> </w:t>
      </w:r>
      <w:r>
        <w:rPr>
          <w:sz w:val="28"/>
          <w:szCs w:val="28"/>
        </w:rPr>
        <w:t xml:space="preserve">(47,9% річного плану), з них </w:t>
      </w:r>
      <w:r>
        <w:rPr>
          <w:kern w:val="2"/>
          <w:sz w:val="28"/>
          <w:szCs w:val="28"/>
        </w:rPr>
        <w:t>на виконання «Програми стимулювання впровадження енергозберігаючих заходів у будинках об</w:t>
      </w:r>
      <w:r>
        <w:rPr>
          <w:sz w:val="28"/>
          <w:szCs w:val="28"/>
        </w:rPr>
        <w:t>’</w:t>
      </w:r>
      <w:r>
        <w:rPr>
          <w:kern w:val="2"/>
          <w:sz w:val="28"/>
          <w:szCs w:val="28"/>
        </w:rPr>
        <w:t>єднань співвласників багатоквартирних будинків та житлово-будівельних кооперативів                         м. Кременчука на 2015 - 2020 роки» – 809,3 тис. грн,</w:t>
      </w:r>
      <w:r>
        <w:t xml:space="preserve">  «</w:t>
      </w:r>
      <w:r>
        <w:rPr>
          <w:kern w:val="2"/>
          <w:sz w:val="28"/>
          <w:szCs w:val="28"/>
        </w:rPr>
        <w:t>Програми стимулювання впровадження енергозберігаючих заходів населенням міста Кременчука на  2016- 2020 роки» –</w:t>
      </w:r>
      <w:r>
        <w:rPr>
          <w:sz w:val="28"/>
          <w:szCs w:val="28"/>
        </w:rPr>
        <w:t xml:space="preserve"> 84,7 тис. грн.</w:t>
      </w:r>
    </w:p>
    <w:p w:rsidR="00DE184C" w:rsidRDefault="00DE184C" w:rsidP="00DE184C">
      <w:pPr>
        <w:tabs>
          <w:tab w:val="left" w:pos="916"/>
        </w:tabs>
        <w:ind w:firstLine="709"/>
        <w:jc w:val="both"/>
        <w:rPr>
          <w:sz w:val="28"/>
          <w:szCs w:val="28"/>
        </w:rPr>
      </w:pPr>
      <w:r>
        <w:rPr>
          <w:sz w:val="28"/>
          <w:szCs w:val="28"/>
        </w:rPr>
        <w:t>На проведення експертної грошової оцінки земельних ділянок несільськогосподарського призначення, що підлягали продажу в 2019 році, було передбачено 150,0 тис. грн. Видатки в звітному періоді склали 88,8 тис. грн</w:t>
      </w:r>
      <w:r>
        <w:rPr>
          <w:kern w:val="2"/>
          <w:sz w:val="28"/>
          <w:szCs w:val="28"/>
        </w:rPr>
        <w:t xml:space="preserve"> </w:t>
      </w:r>
      <w:r>
        <w:rPr>
          <w:sz w:val="28"/>
          <w:szCs w:val="28"/>
        </w:rPr>
        <w:t>(59,2% річного плану).</w:t>
      </w:r>
    </w:p>
    <w:p w:rsidR="00DE184C" w:rsidRDefault="00DE184C" w:rsidP="00DE184C">
      <w:pPr>
        <w:tabs>
          <w:tab w:val="left" w:pos="916"/>
        </w:tabs>
        <w:ind w:firstLine="709"/>
        <w:jc w:val="both"/>
        <w:rPr>
          <w:sz w:val="28"/>
          <w:szCs w:val="28"/>
        </w:rPr>
      </w:pPr>
      <w:r>
        <w:rPr>
          <w:sz w:val="28"/>
          <w:szCs w:val="28"/>
        </w:rPr>
        <w:t>Внески міської ради до статутного капіталу суб’єктів господарювання на                2019 рік визначені в сумі – 53 070,7  тис. грн. В</w:t>
      </w:r>
      <w:r>
        <w:rPr>
          <w:noProof/>
          <w:sz w:val="28"/>
          <w:szCs w:val="28"/>
        </w:rPr>
        <w:t>идатки у звітному періоді склали 38 038,8 тис. грн,</w:t>
      </w:r>
      <w:r>
        <w:rPr>
          <w:sz w:val="28"/>
          <w:szCs w:val="28"/>
        </w:rPr>
        <w:t xml:space="preserve"> що дорівнює  71,7 % річного плану, з них                                       КП «</w:t>
      </w:r>
      <w:proofErr w:type="spellStart"/>
      <w:r>
        <w:rPr>
          <w:sz w:val="28"/>
          <w:szCs w:val="28"/>
        </w:rPr>
        <w:t>Кременчукводоканал</w:t>
      </w:r>
      <w:proofErr w:type="spellEnd"/>
      <w:r>
        <w:rPr>
          <w:sz w:val="28"/>
          <w:szCs w:val="28"/>
        </w:rPr>
        <w:t>» – 6 452,1 тис. грн, КП «</w:t>
      </w:r>
      <w:proofErr w:type="spellStart"/>
      <w:r>
        <w:rPr>
          <w:sz w:val="28"/>
          <w:szCs w:val="28"/>
        </w:rPr>
        <w:t>Теплоенерго</w:t>
      </w:r>
      <w:proofErr w:type="spellEnd"/>
      <w:r>
        <w:rPr>
          <w:sz w:val="28"/>
          <w:szCs w:val="28"/>
        </w:rPr>
        <w:t>» –                        15 174,6 тис. грн</w:t>
      </w:r>
      <w:r>
        <w:rPr>
          <w:noProof/>
          <w:sz w:val="28"/>
          <w:szCs w:val="28"/>
        </w:rPr>
        <w:t xml:space="preserve">, КП КАТП-1628 – 1 377,0 тис. грн, </w:t>
      </w:r>
      <w:r>
        <w:rPr>
          <w:sz w:val="28"/>
          <w:szCs w:val="28"/>
        </w:rPr>
        <w:t>КП КПС ШРБУ</w:t>
      </w:r>
      <w:r>
        <w:rPr>
          <w:noProof/>
          <w:sz w:val="28"/>
          <w:szCs w:val="28"/>
        </w:rPr>
        <w:t xml:space="preserve"> –                                    6 199,9 тис. грн, КП КТУ- 7 690,0 тис.грн, КП «Благоустрій Кременчука» –                     </w:t>
      </w:r>
      <w:r>
        <w:rPr>
          <w:noProof/>
          <w:sz w:val="28"/>
          <w:szCs w:val="28"/>
        </w:rPr>
        <w:lastRenderedPageBreak/>
        <w:t>505,2 тис. грн, КП Аптека №90 – 500,0 тис. грн, КГЖЕП «Автозаводське» –                        140,0 тис. грн.</w:t>
      </w:r>
    </w:p>
    <w:p w:rsidR="00DE184C" w:rsidRDefault="00DE184C" w:rsidP="00DE184C">
      <w:pPr>
        <w:tabs>
          <w:tab w:val="left" w:pos="916"/>
        </w:tabs>
        <w:ind w:firstLine="709"/>
        <w:jc w:val="both"/>
        <w:rPr>
          <w:sz w:val="28"/>
          <w:szCs w:val="28"/>
        </w:rPr>
      </w:pPr>
      <w:r>
        <w:rPr>
          <w:sz w:val="28"/>
          <w:szCs w:val="28"/>
        </w:rPr>
        <w:t>Для підтримки засобів масової інформації  в місцевому бюджеті на 2019 рік передбачено кошти в сумі 9 000,0 тис. грн.  Видатки за звітний період склали 7 983,4 тис. грн (88,7% річного плану).</w:t>
      </w:r>
    </w:p>
    <w:p w:rsidR="00DE184C" w:rsidRDefault="00DE184C" w:rsidP="00DE184C">
      <w:pPr>
        <w:tabs>
          <w:tab w:val="left" w:pos="916"/>
        </w:tabs>
        <w:ind w:firstLine="709"/>
        <w:jc w:val="both"/>
        <w:rPr>
          <w:sz w:val="28"/>
          <w:szCs w:val="28"/>
        </w:rPr>
      </w:pPr>
      <w:r>
        <w:rPr>
          <w:sz w:val="28"/>
          <w:szCs w:val="28"/>
        </w:rPr>
        <w:t>На будівництво та регіональний розвиток на 2019 рік передбачено асигнування в сумі  91 037,6 тис. грн. Видатки за звітний період склали  56 019,9 тис. грн  (61,5% річного плану).</w:t>
      </w:r>
    </w:p>
    <w:p w:rsidR="00DE184C" w:rsidRDefault="00DE184C" w:rsidP="00DE184C">
      <w:pPr>
        <w:tabs>
          <w:tab w:val="left" w:pos="916"/>
        </w:tabs>
        <w:ind w:firstLine="709"/>
        <w:jc w:val="both"/>
        <w:rPr>
          <w:sz w:val="28"/>
          <w:szCs w:val="28"/>
        </w:rPr>
      </w:pPr>
      <w:r>
        <w:rPr>
          <w:sz w:val="28"/>
          <w:szCs w:val="28"/>
        </w:rPr>
        <w:t>В місцевому бюджеті на 2019 рік</w:t>
      </w:r>
      <w:r>
        <w:rPr>
          <w:b/>
          <w:sz w:val="28"/>
          <w:szCs w:val="28"/>
        </w:rPr>
        <w:t xml:space="preserve"> </w:t>
      </w:r>
      <w:r>
        <w:rPr>
          <w:sz w:val="28"/>
          <w:szCs w:val="28"/>
        </w:rPr>
        <w:t xml:space="preserve"> передбачено надання  пільгових довгострокових кредитів громадянам на будівництво (реконструкцію) та придбання житла в сумі 5 688,6 тис. грн. Видатки в звітному періоді склали 4 425,9 тис. грн, що дорівнює 77,8 % річного плану. Видано 5 кредитів.</w:t>
      </w:r>
    </w:p>
    <w:p w:rsidR="00DE184C" w:rsidRDefault="00DE184C" w:rsidP="00DE184C">
      <w:pPr>
        <w:tabs>
          <w:tab w:val="left" w:pos="916"/>
        </w:tabs>
        <w:ind w:firstLine="709"/>
        <w:jc w:val="both"/>
        <w:rPr>
          <w:sz w:val="28"/>
          <w:szCs w:val="28"/>
        </w:rPr>
      </w:pPr>
      <w:r>
        <w:rPr>
          <w:sz w:val="28"/>
          <w:szCs w:val="28"/>
        </w:rPr>
        <w:t>Повернення раніше наданих кредитів та відсотків за користування ними при плані 878,0 тис. грн та 40,0 тис. грн відповідно, в звітному періоді склало 899,4 тис. грн, що дорівнює 98,0% річного плану.</w:t>
      </w:r>
    </w:p>
    <w:p w:rsidR="00DE184C" w:rsidRDefault="00DE184C" w:rsidP="00DE184C">
      <w:pPr>
        <w:widowControl w:val="0"/>
        <w:numPr>
          <w:ilvl w:val="12"/>
          <w:numId w:val="0"/>
        </w:numPr>
        <w:tabs>
          <w:tab w:val="left" w:pos="916"/>
        </w:tabs>
        <w:ind w:firstLine="709"/>
        <w:jc w:val="center"/>
        <w:rPr>
          <w:b/>
          <w:sz w:val="28"/>
          <w:szCs w:val="28"/>
        </w:rPr>
      </w:pPr>
    </w:p>
    <w:p w:rsidR="00DE184C" w:rsidRDefault="00DE184C" w:rsidP="00DE184C">
      <w:pPr>
        <w:widowControl w:val="0"/>
        <w:numPr>
          <w:ilvl w:val="12"/>
          <w:numId w:val="0"/>
        </w:numPr>
        <w:tabs>
          <w:tab w:val="left" w:pos="916"/>
        </w:tabs>
        <w:ind w:firstLine="709"/>
        <w:jc w:val="center"/>
        <w:rPr>
          <w:b/>
          <w:sz w:val="28"/>
          <w:szCs w:val="28"/>
        </w:rPr>
      </w:pPr>
      <w:r>
        <w:rPr>
          <w:b/>
          <w:sz w:val="28"/>
          <w:szCs w:val="28"/>
        </w:rPr>
        <w:t>Інформація щодо наданих місцевих гарантій</w:t>
      </w:r>
    </w:p>
    <w:p w:rsidR="00DE184C" w:rsidRDefault="00DE184C" w:rsidP="00DE184C">
      <w:pPr>
        <w:numPr>
          <w:ilvl w:val="12"/>
          <w:numId w:val="0"/>
        </w:numPr>
        <w:tabs>
          <w:tab w:val="left" w:pos="916"/>
        </w:tabs>
        <w:ind w:firstLine="709"/>
        <w:jc w:val="both"/>
        <w:rPr>
          <w:sz w:val="28"/>
          <w:szCs w:val="28"/>
        </w:rPr>
      </w:pPr>
    </w:p>
    <w:p w:rsidR="00DE184C" w:rsidRDefault="00DE184C" w:rsidP="00DE184C">
      <w:pPr>
        <w:numPr>
          <w:ilvl w:val="12"/>
          <w:numId w:val="0"/>
        </w:numPr>
        <w:tabs>
          <w:tab w:val="left" w:pos="916"/>
        </w:tabs>
        <w:ind w:firstLine="709"/>
        <w:jc w:val="both"/>
        <w:rPr>
          <w:sz w:val="28"/>
          <w:szCs w:val="28"/>
        </w:rPr>
      </w:pPr>
      <w:r>
        <w:rPr>
          <w:sz w:val="28"/>
          <w:szCs w:val="28"/>
        </w:rPr>
        <w:t xml:space="preserve">Відповідно до статті VІ Договору про </w:t>
      </w:r>
      <w:proofErr w:type="spellStart"/>
      <w:r>
        <w:rPr>
          <w:sz w:val="28"/>
          <w:szCs w:val="28"/>
        </w:rPr>
        <w:t>субкредитування</w:t>
      </w:r>
      <w:proofErr w:type="spellEnd"/>
      <w:r>
        <w:rPr>
          <w:sz w:val="28"/>
          <w:szCs w:val="28"/>
        </w:rPr>
        <w:t xml:space="preserve">  №28010-02/11  від 27.01.2010 між Міністерством фінансів України, Міністерством з питань житлово-комунального господарства України та комунальним підприємством «</w:t>
      </w:r>
      <w:proofErr w:type="spellStart"/>
      <w:r>
        <w:rPr>
          <w:sz w:val="28"/>
          <w:szCs w:val="28"/>
        </w:rPr>
        <w:t>Кременчукводоканал</w:t>
      </w:r>
      <w:proofErr w:type="spellEnd"/>
      <w:r>
        <w:rPr>
          <w:sz w:val="28"/>
          <w:szCs w:val="28"/>
        </w:rPr>
        <w:t>» «Про використання сум позики, що надається Україні Міжнародним банком реконструкції та розвитку» (Угода про позику «</w:t>
      </w:r>
      <w:proofErr w:type="spellStart"/>
      <w:r>
        <w:rPr>
          <w:sz w:val="28"/>
          <w:szCs w:val="28"/>
        </w:rPr>
        <w:t>Проєкт</w:t>
      </w:r>
      <w:proofErr w:type="spellEnd"/>
      <w:r>
        <w:rPr>
          <w:sz w:val="28"/>
          <w:szCs w:val="28"/>
        </w:rPr>
        <w:t xml:space="preserve"> розвитку міської інфраструктури» №4869-UA від 26.05.2008 року) засобом забезпечення виконання </w:t>
      </w:r>
      <w:proofErr w:type="spellStart"/>
      <w:r>
        <w:rPr>
          <w:sz w:val="28"/>
          <w:szCs w:val="28"/>
        </w:rPr>
        <w:t>субпозичальником</w:t>
      </w:r>
      <w:proofErr w:type="spellEnd"/>
      <w:r>
        <w:rPr>
          <w:sz w:val="28"/>
          <w:szCs w:val="28"/>
        </w:rPr>
        <w:t xml:space="preserve"> своїх зобов’язань є гарантія Кременчуцької міської ради від 21.08.2009 №1, надана Кременчуцькою міською радою Міністерству фінансів України. </w:t>
      </w:r>
    </w:p>
    <w:p w:rsidR="00DE184C" w:rsidRDefault="00DE184C" w:rsidP="00DE184C">
      <w:pPr>
        <w:numPr>
          <w:ilvl w:val="12"/>
          <w:numId w:val="0"/>
        </w:numPr>
        <w:tabs>
          <w:tab w:val="left" w:pos="916"/>
        </w:tabs>
        <w:ind w:firstLine="709"/>
        <w:jc w:val="both"/>
        <w:rPr>
          <w:sz w:val="28"/>
          <w:szCs w:val="28"/>
        </w:rPr>
      </w:pPr>
      <w:r>
        <w:rPr>
          <w:sz w:val="28"/>
          <w:szCs w:val="28"/>
        </w:rPr>
        <w:t xml:space="preserve">Загальна сума </w:t>
      </w:r>
      <w:proofErr w:type="spellStart"/>
      <w:r>
        <w:rPr>
          <w:sz w:val="28"/>
          <w:szCs w:val="28"/>
        </w:rPr>
        <w:t>субкредиту</w:t>
      </w:r>
      <w:proofErr w:type="spellEnd"/>
      <w:r>
        <w:rPr>
          <w:sz w:val="28"/>
          <w:szCs w:val="28"/>
        </w:rPr>
        <w:t xml:space="preserve"> відповідно до Додаткової Угоди  від 01 квітня 2016 року № 28010-02/11-3 до Договору про </w:t>
      </w:r>
      <w:proofErr w:type="spellStart"/>
      <w:r>
        <w:rPr>
          <w:sz w:val="28"/>
          <w:szCs w:val="28"/>
        </w:rPr>
        <w:t>субкредитування</w:t>
      </w:r>
      <w:proofErr w:type="spellEnd"/>
      <w:r>
        <w:rPr>
          <w:sz w:val="28"/>
          <w:szCs w:val="28"/>
        </w:rPr>
        <w:t xml:space="preserve"> №28010-02/11   від 27.01.2010 складає 6 528 743,88 </w:t>
      </w:r>
      <w:proofErr w:type="spellStart"/>
      <w:r>
        <w:rPr>
          <w:sz w:val="28"/>
          <w:szCs w:val="28"/>
        </w:rPr>
        <w:t>дол</w:t>
      </w:r>
      <w:proofErr w:type="spellEnd"/>
      <w:r>
        <w:rPr>
          <w:sz w:val="28"/>
          <w:szCs w:val="28"/>
        </w:rPr>
        <w:t xml:space="preserve">. США.  У відповідності до графіку погашення основної суми </w:t>
      </w:r>
      <w:proofErr w:type="spellStart"/>
      <w:r>
        <w:rPr>
          <w:sz w:val="28"/>
          <w:szCs w:val="28"/>
        </w:rPr>
        <w:t>субкредиту</w:t>
      </w:r>
      <w:proofErr w:type="spellEnd"/>
      <w:r>
        <w:rPr>
          <w:sz w:val="28"/>
          <w:szCs w:val="28"/>
        </w:rPr>
        <w:t xml:space="preserve"> останній платіж передбачається                       15 жовтня 2027 року. </w:t>
      </w:r>
    </w:p>
    <w:p w:rsidR="00DE184C" w:rsidRDefault="00DE184C" w:rsidP="00DE184C">
      <w:pPr>
        <w:widowControl w:val="0"/>
        <w:tabs>
          <w:tab w:val="left" w:pos="916"/>
        </w:tabs>
        <w:ind w:firstLine="709"/>
        <w:jc w:val="both"/>
        <w:rPr>
          <w:kern w:val="2"/>
          <w:sz w:val="28"/>
          <w:szCs w:val="28"/>
        </w:rPr>
      </w:pPr>
      <w:r>
        <w:rPr>
          <w:kern w:val="2"/>
          <w:sz w:val="28"/>
          <w:szCs w:val="28"/>
        </w:rPr>
        <w:t xml:space="preserve">В 2019 році погашення основної суми </w:t>
      </w:r>
      <w:proofErr w:type="spellStart"/>
      <w:r>
        <w:rPr>
          <w:kern w:val="2"/>
          <w:sz w:val="28"/>
          <w:szCs w:val="28"/>
        </w:rPr>
        <w:t>субкредиту</w:t>
      </w:r>
      <w:proofErr w:type="spellEnd"/>
      <w:r>
        <w:rPr>
          <w:kern w:val="2"/>
          <w:sz w:val="28"/>
          <w:szCs w:val="28"/>
        </w:rPr>
        <w:t xml:space="preserve">, відсотків та маржі  передбачалося здійснити двома </w:t>
      </w:r>
      <w:proofErr w:type="spellStart"/>
      <w:r>
        <w:rPr>
          <w:kern w:val="2"/>
          <w:sz w:val="28"/>
          <w:szCs w:val="28"/>
        </w:rPr>
        <w:t>платежами</w:t>
      </w:r>
      <w:proofErr w:type="spellEnd"/>
      <w:r>
        <w:rPr>
          <w:kern w:val="2"/>
          <w:sz w:val="28"/>
          <w:szCs w:val="28"/>
        </w:rPr>
        <w:t xml:space="preserve"> 15 квітня та 15 жовтня в загальній сумі 431 748,26 </w:t>
      </w:r>
      <w:proofErr w:type="spellStart"/>
      <w:r>
        <w:rPr>
          <w:kern w:val="2"/>
          <w:sz w:val="28"/>
          <w:szCs w:val="28"/>
        </w:rPr>
        <w:t>дол</w:t>
      </w:r>
      <w:proofErr w:type="spellEnd"/>
      <w:r>
        <w:rPr>
          <w:kern w:val="2"/>
          <w:sz w:val="28"/>
          <w:szCs w:val="28"/>
        </w:rPr>
        <w:t xml:space="preserve">. США. </w:t>
      </w:r>
    </w:p>
    <w:p w:rsidR="00DE184C" w:rsidRDefault="00DE184C" w:rsidP="00DE184C">
      <w:pPr>
        <w:tabs>
          <w:tab w:val="left" w:pos="916"/>
        </w:tabs>
        <w:ind w:firstLine="709"/>
        <w:jc w:val="both"/>
        <w:rPr>
          <w:sz w:val="28"/>
          <w:szCs w:val="28"/>
        </w:rPr>
      </w:pPr>
      <w:r>
        <w:rPr>
          <w:sz w:val="28"/>
          <w:szCs w:val="28"/>
        </w:rPr>
        <w:t>Видатки на виконання наданих місцевих гарантій на 2019 рік визначені в сумі 3 029,3 тис. грн. Фактичні видатки склали 100% плану.</w:t>
      </w:r>
    </w:p>
    <w:p w:rsidR="00DE184C" w:rsidRDefault="00DE184C" w:rsidP="00DE184C">
      <w:pPr>
        <w:tabs>
          <w:tab w:val="left" w:pos="916"/>
        </w:tabs>
        <w:ind w:firstLine="709"/>
        <w:jc w:val="both"/>
        <w:rPr>
          <w:sz w:val="28"/>
          <w:szCs w:val="28"/>
        </w:rPr>
      </w:pPr>
      <w:r>
        <w:rPr>
          <w:sz w:val="28"/>
          <w:szCs w:val="28"/>
        </w:rPr>
        <w:t>В 2019 році продовжено залучення кредиту ЄБРР в сумі 1 554,0 тис. євро  (загальна сума кредиту 8 000,0 тис. євро, всього залучено 7 999,964 тис. євро) під місцеву гарантію. Мета кредиту – оновлення міського електротранспорту шляхом закупівлі тролейбусів для КП «Кременчуцьке тролейбусне управління». Видатки на виконання місцевих гарантій по кредиту ЄБРР на  2019 рік визначені в сумі 26 025,2 тис. грн. Видатки в звітному періоді  склали 25 825,1 тис. грн, що дорівнює 99,2% річного плану.</w:t>
      </w:r>
    </w:p>
    <w:p w:rsidR="00DE184C" w:rsidRDefault="00DE184C" w:rsidP="00DE184C">
      <w:pPr>
        <w:widowControl w:val="0"/>
        <w:tabs>
          <w:tab w:val="left" w:pos="916"/>
        </w:tabs>
        <w:ind w:firstLine="709"/>
        <w:jc w:val="both"/>
        <w:rPr>
          <w:kern w:val="2"/>
          <w:sz w:val="28"/>
          <w:szCs w:val="28"/>
        </w:rPr>
      </w:pPr>
      <w:r>
        <w:rPr>
          <w:kern w:val="2"/>
          <w:sz w:val="28"/>
          <w:szCs w:val="28"/>
        </w:rPr>
        <w:lastRenderedPageBreak/>
        <w:t>Видатки на виконання місцевих гарантій по кредиту ЄБРР (загальна сума кредиту 7 500,0 тис. євро) на виконання проекту «Підвищення енергоефективності громадських будівель у м. Кременчук» на 2019 рік визначені в сумі 8 646,6 тис. грн.  Фактичні видатки в звітному періоді  склали 4 302,6 тис. грн, що дорівнює 50,0% річного плану.</w:t>
      </w:r>
    </w:p>
    <w:p w:rsidR="00DE184C" w:rsidRDefault="00DE184C" w:rsidP="00DE184C">
      <w:pPr>
        <w:widowControl w:val="0"/>
        <w:tabs>
          <w:tab w:val="left" w:pos="916"/>
        </w:tabs>
        <w:ind w:firstLine="709"/>
        <w:jc w:val="both"/>
        <w:rPr>
          <w:b/>
          <w:sz w:val="28"/>
          <w:szCs w:val="28"/>
        </w:rPr>
      </w:pPr>
    </w:p>
    <w:p w:rsidR="00DE184C" w:rsidRDefault="00DE184C" w:rsidP="00DE184C">
      <w:pPr>
        <w:widowControl w:val="0"/>
        <w:numPr>
          <w:ilvl w:val="12"/>
          <w:numId w:val="0"/>
        </w:numPr>
        <w:tabs>
          <w:tab w:val="left" w:pos="916"/>
        </w:tabs>
        <w:ind w:firstLine="709"/>
        <w:jc w:val="center"/>
        <w:rPr>
          <w:b/>
          <w:sz w:val="28"/>
          <w:szCs w:val="28"/>
        </w:rPr>
      </w:pPr>
      <w:r>
        <w:rPr>
          <w:b/>
          <w:sz w:val="28"/>
          <w:szCs w:val="28"/>
        </w:rPr>
        <w:t xml:space="preserve">Інформація щодо обслуговування боргу міського бюджету, </w:t>
      </w:r>
    </w:p>
    <w:p w:rsidR="00DE184C" w:rsidRDefault="00DE184C" w:rsidP="00DE184C">
      <w:pPr>
        <w:widowControl w:val="0"/>
        <w:numPr>
          <w:ilvl w:val="12"/>
          <w:numId w:val="0"/>
        </w:numPr>
        <w:tabs>
          <w:tab w:val="left" w:pos="916"/>
        </w:tabs>
        <w:ind w:firstLine="709"/>
        <w:jc w:val="center"/>
        <w:rPr>
          <w:b/>
          <w:sz w:val="28"/>
          <w:szCs w:val="28"/>
        </w:rPr>
      </w:pPr>
      <w:r>
        <w:rPr>
          <w:b/>
          <w:sz w:val="28"/>
          <w:szCs w:val="28"/>
        </w:rPr>
        <w:t xml:space="preserve">обсягів та умов запозичень </w:t>
      </w:r>
    </w:p>
    <w:p w:rsidR="00DE184C" w:rsidRDefault="00DE184C" w:rsidP="00DE184C">
      <w:pPr>
        <w:widowControl w:val="0"/>
        <w:numPr>
          <w:ilvl w:val="12"/>
          <w:numId w:val="0"/>
        </w:numPr>
        <w:tabs>
          <w:tab w:val="left" w:pos="916"/>
        </w:tabs>
        <w:ind w:firstLine="709"/>
        <w:jc w:val="center"/>
        <w:rPr>
          <w:b/>
          <w:sz w:val="28"/>
          <w:szCs w:val="28"/>
        </w:rPr>
      </w:pPr>
    </w:p>
    <w:p w:rsidR="00DE184C" w:rsidRDefault="00DE184C" w:rsidP="00DE184C">
      <w:pPr>
        <w:numPr>
          <w:ilvl w:val="12"/>
          <w:numId w:val="0"/>
        </w:numPr>
        <w:tabs>
          <w:tab w:val="left" w:pos="916"/>
        </w:tabs>
        <w:ind w:firstLine="709"/>
        <w:jc w:val="both"/>
        <w:rPr>
          <w:sz w:val="28"/>
          <w:szCs w:val="28"/>
        </w:rPr>
      </w:pPr>
      <w:r>
        <w:rPr>
          <w:sz w:val="28"/>
          <w:szCs w:val="28"/>
        </w:rPr>
        <w:t xml:space="preserve">По кредитному договору між «Північною екологічною фінансовою корпорацією» (НЕФКО) та Кременчуцькою міською радою, метою якого є </w:t>
      </w:r>
      <w:r>
        <w:rPr>
          <w:kern w:val="2"/>
          <w:sz w:val="28"/>
          <w:szCs w:val="28"/>
        </w:rPr>
        <w:t xml:space="preserve">фінансування впровадження заходів проекту «Технічне переоснащення та модернізація вуличного освітлення міста Кременчук Полтавської області» </w:t>
      </w:r>
      <w:r>
        <w:rPr>
          <w:rStyle w:val="rvts7"/>
          <w:sz w:val="28"/>
          <w:szCs w:val="28"/>
        </w:rPr>
        <w:t>на основі енергоефективних джерел світла</w:t>
      </w:r>
      <w:r>
        <w:rPr>
          <w:kern w:val="2"/>
          <w:sz w:val="28"/>
          <w:szCs w:val="28"/>
        </w:rPr>
        <w:t xml:space="preserve"> (вул. </w:t>
      </w:r>
      <w:proofErr w:type="spellStart"/>
      <w:r>
        <w:rPr>
          <w:kern w:val="2"/>
          <w:sz w:val="28"/>
          <w:szCs w:val="28"/>
        </w:rPr>
        <w:t>Халаменюка</w:t>
      </w:r>
      <w:proofErr w:type="spellEnd"/>
      <w:r>
        <w:rPr>
          <w:kern w:val="2"/>
          <w:sz w:val="28"/>
          <w:szCs w:val="28"/>
        </w:rPr>
        <w:t xml:space="preserve"> – проспект Свободи та проспект Лесі Українки). </w:t>
      </w:r>
      <w:r>
        <w:rPr>
          <w:sz w:val="28"/>
          <w:szCs w:val="28"/>
        </w:rPr>
        <w:t>Відсоткова ставка за користування кредитними коштами становить 3% річних.</w:t>
      </w:r>
    </w:p>
    <w:p w:rsidR="00DE184C" w:rsidRDefault="00DE184C" w:rsidP="00DE184C">
      <w:pPr>
        <w:numPr>
          <w:ilvl w:val="12"/>
          <w:numId w:val="0"/>
        </w:numPr>
        <w:tabs>
          <w:tab w:val="left" w:pos="916"/>
        </w:tabs>
        <w:ind w:firstLine="709"/>
        <w:jc w:val="both"/>
        <w:rPr>
          <w:sz w:val="28"/>
          <w:szCs w:val="28"/>
        </w:rPr>
      </w:pPr>
      <w:r>
        <w:rPr>
          <w:sz w:val="28"/>
          <w:szCs w:val="28"/>
        </w:rPr>
        <w:t>Погашення кредиту та сплата відсотків по кредиту здійснюється щоквартально 15 березня, 15 червня, 15 вересня та 15 грудня, починаючи                    з 15 вересня 2017 року.</w:t>
      </w:r>
    </w:p>
    <w:p w:rsidR="00DE184C" w:rsidRDefault="00DE184C" w:rsidP="00DE184C">
      <w:pPr>
        <w:numPr>
          <w:ilvl w:val="12"/>
          <w:numId w:val="0"/>
        </w:numPr>
        <w:tabs>
          <w:tab w:val="left" w:pos="916"/>
        </w:tabs>
        <w:ind w:firstLine="709"/>
        <w:jc w:val="both"/>
        <w:rPr>
          <w:sz w:val="28"/>
          <w:szCs w:val="28"/>
        </w:rPr>
      </w:pPr>
      <w:r>
        <w:rPr>
          <w:sz w:val="28"/>
          <w:szCs w:val="28"/>
        </w:rPr>
        <w:t>Строк погашення основної суми боргу по запозиченню – 15 червня                  2021 року.</w:t>
      </w:r>
    </w:p>
    <w:p w:rsidR="00DE184C" w:rsidRDefault="00DE184C" w:rsidP="00DE184C">
      <w:pPr>
        <w:numPr>
          <w:ilvl w:val="12"/>
          <w:numId w:val="0"/>
        </w:numPr>
        <w:tabs>
          <w:tab w:val="left" w:pos="916"/>
        </w:tabs>
        <w:ind w:firstLine="709"/>
        <w:jc w:val="both"/>
        <w:rPr>
          <w:sz w:val="28"/>
          <w:szCs w:val="28"/>
        </w:rPr>
      </w:pPr>
      <w:r>
        <w:rPr>
          <w:sz w:val="28"/>
          <w:szCs w:val="28"/>
        </w:rPr>
        <w:t>В 2019 році на обслуговування кредиту (сплату відсотків) передбачені видатки в сумі 107,6 тис. грн, на погашення основної суми боргу по запозиченню 1 660,5 тис. грн. Фактичні видатки в звітному періоді на обслуговування кредиту (сплату відсотків) склали 107,3 тис. грн, на погашення основної суми боргу по запозиченню – 1 660,5 тис. грн.</w:t>
      </w:r>
    </w:p>
    <w:p w:rsidR="00DE184C" w:rsidRDefault="00DE184C" w:rsidP="00DE184C">
      <w:pPr>
        <w:pStyle w:val="FR1"/>
        <w:tabs>
          <w:tab w:val="left" w:pos="916"/>
          <w:tab w:val="left" w:pos="1440"/>
        </w:tabs>
        <w:suppressAutoHyphens/>
        <w:spacing w:line="240" w:lineRule="auto"/>
        <w:ind w:firstLine="709"/>
        <w:jc w:val="both"/>
        <w:rPr>
          <w:b/>
          <w:szCs w:val="28"/>
        </w:rPr>
      </w:pPr>
    </w:p>
    <w:p w:rsidR="00DE184C" w:rsidRDefault="00DE184C" w:rsidP="00DE184C">
      <w:pPr>
        <w:widowControl w:val="0"/>
        <w:tabs>
          <w:tab w:val="left" w:pos="709"/>
          <w:tab w:val="left" w:pos="1440"/>
        </w:tabs>
        <w:suppressAutoHyphens/>
        <w:rPr>
          <w:b/>
          <w:sz w:val="28"/>
          <w:szCs w:val="28"/>
          <w:lang w:val="ru-RU" w:eastAsia="ru-RU"/>
        </w:rPr>
      </w:pPr>
    </w:p>
    <w:p w:rsidR="00D716C9" w:rsidRDefault="00D716C9" w:rsidP="00D716C9">
      <w:pPr>
        <w:tabs>
          <w:tab w:val="left" w:pos="5049"/>
        </w:tabs>
        <w:jc w:val="both"/>
        <w:rPr>
          <w:b/>
          <w:sz w:val="28"/>
        </w:rPr>
      </w:pPr>
      <w:r>
        <w:rPr>
          <w:b/>
          <w:sz w:val="28"/>
        </w:rPr>
        <w:t xml:space="preserve">Заступник директора </w:t>
      </w:r>
    </w:p>
    <w:p w:rsidR="00D716C9" w:rsidRDefault="00D716C9" w:rsidP="00D716C9">
      <w:pPr>
        <w:tabs>
          <w:tab w:val="left" w:pos="5049"/>
        </w:tabs>
        <w:jc w:val="both"/>
        <w:rPr>
          <w:b/>
          <w:sz w:val="28"/>
        </w:rPr>
      </w:pPr>
      <w:r>
        <w:rPr>
          <w:b/>
          <w:sz w:val="28"/>
        </w:rPr>
        <w:t>Департаменту фінансів-</w:t>
      </w:r>
    </w:p>
    <w:p w:rsidR="00DE184C" w:rsidRPr="00D716C9" w:rsidRDefault="00D716C9" w:rsidP="00D716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z w:val="28"/>
        </w:rPr>
      </w:pPr>
      <w:r>
        <w:rPr>
          <w:b/>
          <w:sz w:val="28"/>
        </w:rPr>
        <w:t xml:space="preserve">начальник бюджетного управління                      </w:t>
      </w:r>
      <w:r>
        <w:rPr>
          <w:b/>
          <w:sz w:val="28"/>
        </w:rPr>
        <w:t xml:space="preserve">          </w:t>
      </w:r>
      <w:r>
        <w:rPr>
          <w:b/>
          <w:sz w:val="28"/>
        </w:rPr>
        <w:t xml:space="preserve">    </w:t>
      </w:r>
      <w:bookmarkStart w:id="2" w:name="_GoBack"/>
      <w:bookmarkEnd w:id="2"/>
      <w:r>
        <w:rPr>
          <w:b/>
          <w:sz w:val="28"/>
        </w:rPr>
        <w:t>Т.</w:t>
      </w:r>
      <w:r>
        <w:rPr>
          <w:b/>
          <w:sz w:val="28"/>
        </w:rPr>
        <w:t xml:space="preserve"> ТЄТЬОРКІНА</w:t>
      </w:r>
    </w:p>
    <w:p w:rsidR="005A426C" w:rsidRDefault="005A426C"/>
    <w:sectPr w:rsidR="005A426C" w:rsidSect="00DE184C">
      <w:headerReference w:type="default" r:id="rId20"/>
      <w:footerReference w:type="default" r:id="rId21"/>
      <w:pgSz w:w="11906" w:h="16838"/>
      <w:pgMar w:top="709" w:right="707" w:bottom="851"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20E0" w:rsidRDefault="002B20E0" w:rsidP="00DE184C">
      <w:r>
        <w:separator/>
      </w:r>
    </w:p>
  </w:endnote>
  <w:endnote w:type="continuationSeparator" w:id="0">
    <w:p w:rsidR="002B20E0" w:rsidRDefault="002B20E0" w:rsidP="00DE18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11">
    <w:altName w:val="Arial"/>
    <w:charset w:val="CC"/>
    <w:family w:val="swiss"/>
    <w:pitch w:val="variable"/>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0808963"/>
      <w:docPartObj>
        <w:docPartGallery w:val="Page Numbers (Bottom of Page)"/>
        <w:docPartUnique/>
      </w:docPartObj>
    </w:sdtPr>
    <w:sdtEndPr/>
    <w:sdtContent>
      <w:p w:rsidR="00DE184C" w:rsidRDefault="00DE184C">
        <w:pPr>
          <w:pStyle w:val="a9"/>
          <w:jc w:val="right"/>
        </w:pPr>
        <w:r>
          <w:fldChar w:fldCharType="begin"/>
        </w:r>
        <w:r>
          <w:instrText>PAGE   \* MERGEFORMAT</w:instrText>
        </w:r>
        <w:r>
          <w:fldChar w:fldCharType="separate"/>
        </w:r>
        <w:r w:rsidR="00D716C9" w:rsidRPr="00D716C9">
          <w:rPr>
            <w:noProof/>
            <w:lang w:val="ru-RU"/>
          </w:rPr>
          <w:t>23</w:t>
        </w:r>
        <w:r>
          <w:fldChar w:fldCharType="end"/>
        </w:r>
      </w:p>
    </w:sdtContent>
  </w:sdt>
  <w:p w:rsidR="00DE184C" w:rsidRDefault="00DE184C">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20E0" w:rsidRDefault="002B20E0" w:rsidP="00DE184C">
      <w:r>
        <w:separator/>
      </w:r>
    </w:p>
  </w:footnote>
  <w:footnote w:type="continuationSeparator" w:id="0">
    <w:p w:rsidR="002B20E0" w:rsidRDefault="002B20E0" w:rsidP="00DE18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84C" w:rsidRPr="00DE184C" w:rsidRDefault="00DE184C" w:rsidP="00DE184C">
    <w:pPr>
      <w:pStyle w:val="a7"/>
      <w:jc w:val="right"/>
      <w:rPr>
        <w:b/>
        <w:sz w:val="28"/>
        <w:szCs w:val="28"/>
      </w:rPr>
    </w:pPr>
    <w:r w:rsidRPr="00DE184C">
      <w:rPr>
        <w:b/>
        <w:sz w:val="28"/>
        <w:szCs w:val="28"/>
      </w:rPr>
      <w:t>Продовження додатка 1</w:t>
    </w:r>
  </w:p>
  <w:p w:rsidR="00DE184C" w:rsidRDefault="00DE184C">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F3F37"/>
    <w:multiLevelType w:val="hybridMultilevel"/>
    <w:tmpl w:val="BFF4A540"/>
    <w:lvl w:ilvl="0" w:tplc="DB62E1D0">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
    <w:nsid w:val="13BC58F2"/>
    <w:multiLevelType w:val="hybridMultilevel"/>
    <w:tmpl w:val="F9C0FB2E"/>
    <w:lvl w:ilvl="0" w:tplc="DB62E1D0">
      <w:start w:val="1"/>
      <w:numFmt w:val="bullet"/>
      <w:lvlText w:val="-"/>
      <w:lvlJc w:val="left"/>
      <w:pPr>
        <w:ind w:left="1069" w:hanging="360"/>
      </w:pPr>
      <w:rPr>
        <w:rFonts w:ascii="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2">
    <w:nsid w:val="499B7DE2"/>
    <w:multiLevelType w:val="hybridMultilevel"/>
    <w:tmpl w:val="26CE0DFC"/>
    <w:lvl w:ilvl="0" w:tplc="DB62E1D0">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4E6541C9"/>
    <w:multiLevelType w:val="hybridMultilevel"/>
    <w:tmpl w:val="E864ED2A"/>
    <w:lvl w:ilvl="0" w:tplc="DB62E1D0">
      <w:start w:val="1"/>
      <w:numFmt w:val="bullet"/>
      <w:lvlText w:val="-"/>
      <w:lvlJc w:val="left"/>
      <w:pPr>
        <w:ind w:left="1069" w:hanging="360"/>
      </w:pPr>
      <w:rPr>
        <w:rFonts w:ascii="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4">
    <w:nsid w:val="53A80D2F"/>
    <w:multiLevelType w:val="hybridMultilevel"/>
    <w:tmpl w:val="4DDEA718"/>
    <w:lvl w:ilvl="0" w:tplc="D052607E">
      <w:start w:val="1"/>
      <w:numFmt w:val="decimal"/>
      <w:lvlText w:val="%1)"/>
      <w:lvlJc w:val="left"/>
      <w:pPr>
        <w:ind w:left="720" w:hanging="360"/>
      </w:pPr>
      <w:rPr>
        <w:rFonts w:ascii="Times New Roman" w:eastAsia="Calibri" w:hAnsi="Times New Roman" w:cs="Times New Roman"/>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5">
    <w:nsid w:val="61CB61E6"/>
    <w:multiLevelType w:val="hybridMultilevel"/>
    <w:tmpl w:val="1B3E6200"/>
    <w:lvl w:ilvl="0" w:tplc="04220011">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2"/>
  </w:num>
  <w:num w:numId="4">
    <w:abstractNumId w:val="4"/>
    <w:lvlOverride w:ilvl="0">
      <w:startOverride w:val="1"/>
    </w:lvlOverride>
    <w:lvlOverride w:ilvl="1"/>
    <w:lvlOverride w:ilvl="2"/>
    <w:lvlOverride w:ilvl="3"/>
    <w:lvlOverride w:ilvl="4"/>
    <w:lvlOverride w:ilvl="5"/>
    <w:lvlOverride w:ilvl="6"/>
    <w:lvlOverride w:ilvl="7"/>
    <w:lvlOverride w:ilvl="8"/>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6FC3"/>
    <w:rsid w:val="00072E4A"/>
    <w:rsid w:val="00166FC3"/>
    <w:rsid w:val="002A6BA8"/>
    <w:rsid w:val="002B20E0"/>
    <w:rsid w:val="005A426C"/>
    <w:rsid w:val="00642A70"/>
    <w:rsid w:val="00B21A5A"/>
    <w:rsid w:val="00C32A9C"/>
    <w:rsid w:val="00D716C9"/>
    <w:rsid w:val="00DE184C"/>
    <w:rsid w:val="00E056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184C"/>
    <w:pPr>
      <w:spacing w:after="0" w:line="240" w:lineRule="auto"/>
    </w:pPr>
    <w:rPr>
      <w:rFonts w:ascii="Times New Roman" w:eastAsia="Times New Roman" w:hAnsi="Times New Roman" w:cs="Times New Roman"/>
      <w:sz w:val="24"/>
      <w:szCs w:val="24"/>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DE184C"/>
    <w:pPr>
      <w:jc w:val="center"/>
    </w:pPr>
    <w:rPr>
      <w:b/>
      <w:sz w:val="28"/>
      <w:szCs w:val="20"/>
      <w:lang w:eastAsia="ru-RU"/>
    </w:rPr>
  </w:style>
  <w:style w:type="character" w:customStyle="1" w:styleId="a4">
    <w:name w:val="Название Знак"/>
    <w:basedOn w:val="a0"/>
    <w:link w:val="a3"/>
    <w:rsid w:val="00DE184C"/>
    <w:rPr>
      <w:rFonts w:ascii="Times New Roman" w:eastAsia="Times New Roman" w:hAnsi="Times New Roman" w:cs="Times New Roman"/>
      <w:b/>
      <w:sz w:val="28"/>
      <w:szCs w:val="20"/>
      <w:lang w:val="uk-UA" w:eastAsia="ru-RU"/>
    </w:rPr>
  </w:style>
  <w:style w:type="paragraph" w:customStyle="1" w:styleId="FR1">
    <w:name w:val="FR1"/>
    <w:rsid w:val="00DE184C"/>
    <w:pPr>
      <w:widowControl w:val="0"/>
      <w:spacing w:after="0" w:line="259" w:lineRule="auto"/>
      <w:ind w:firstLine="680"/>
    </w:pPr>
    <w:rPr>
      <w:rFonts w:ascii="Times New Roman" w:eastAsia="Times New Roman" w:hAnsi="Times New Roman" w:cs="Times New Roman"/>
      <w:sz w:val="28"/>
      <w:szCs w:val="20"/>
      <w:lang w:val="uk-UA" w:eastAsia="ru-RU"/>
    </w:rPr>
  </w:style>
  <w:style w:type="paragraph" w:customStyle="1" w:styleId="1">
    <w:name w:val="Без интервала1"/>
    <w:rsid w:val="00DE184C"/>
    <w:pPr>
      <w:spacing w:after="0" w:line="240" w:lineRule="auto"/>
    </w:pPr>
    <w:rPr>
      <w:rFonts w:ascii="Calibri" w:eastAsia="Times New Roman" w:hAnsi="Calibri" w:cs="Times New Roman"/>
      <w:lang w:eastAsia="ru-RU"/>
    </w:rPr>
  </w:style>
  <w:style w:type="character" w:customStyle="1" w:styleId="rvts7">
    <w:name w:val="rvts7"/>
    <w:rsid w:val="00DE184C"/>
  </w:style>
  <w:style w:type="paragraph" w:styleId="a5">
    <w:name w:val="Balloon Text"/>
    <w:basedOn w:val="a"/>
    <w:link w:val="a6"/>
    <w:uiPriority w:val="99"/>
    <w:semiHidden/>
    <w:unhideWhenUsed/>
    <w:rsid w:val="00DE184C"/>
    <w:rPr>
      <w:rFonts w:ascii="Tahoma" w:hAnsi="Tahoma" w:cs="Tahoma"/>
      <w:sz w:val="16"/>
      <w:szCs w:val="16"/>
    </w:rPr>
  </w:style>
  <w:style w:type="character" w:customStyle="1" w:styleId="a6">
    <w:name w:val="Текст выноски Знак"/>
    <w:basedOn w:val="a0"/>
    <w:link w:val="a5"/>
    <w:uiPriority w:val="99"/>
    <w:semiHidden/>
    <w:rsid w:val="00DE184C"/>
    <w:rPr>
      <w:rFonts w:ascii="Tahoma" w:eastAsia="Times New Roman" w:hAnsi="Tahoma" w:cs="Tahoma"/>
      <w:sz w:val="16"/>
      <w:szCs w:val="16"/>
      <w:lang w:val="uk-UA" w:eastAsia="uk-UA"/>
    </w:rPr>
  </w:style>
  <w:style w:type="paragraph" w:styleId="a7">
    <w:name w:val="header"/>
    <w:basedOn w:val="a"/>
    <w:link w:val="a8"/>
    <w:uiPriority w:val="99"/>
    <w:unhideWhenUsed/>
    <w:rsid w:val="00DE184C"/>
    <w:pPr>
      <w:tabs>
        <w:tab w:val="center" w:pos="4677"/>
        <w:tab w:val="right" w:pos="9355"/>
      </w:tabs>
    </w:pPr>
  </w:style>
  <w:style w:type="character" w:customStyle="1" w:styleId="a8">
    <w:name w:val="Верхний колонтитул Знак"/>
    <w:basedOn w:val="a0"/>
    <w:link w:val="a7"/>
    <w:uiPriority w:val="99"/>
    <w:rsid w:val="00DE184C"/>
    <w:rPr>
      <w:rFonts w:ascii="Times New Roman" w:eastAsia="Times New Roman" w:hAnsi="Times New Roman" w:cs="Times New Roman"/>
      <w:sz w:val="24"/>
      <w:szCs w:val="24"/>
      <w:lang w:val="uk-UA" w:eastAsia="uk-UA"/>
    </w:rPr>
  </w:style>
  <w:style w:type="paragraph" w:styleId="a9">
    <w:name w:val="footer"/>
    <w:basedOn w:val="a"/>
    <w:link w:val="aa"/>
    <w:uiPriority w:val="99"/>
    <w:unhideWhenUsed/>
    <w:rsid w:val="00DE184C"/>
    <w:pPr>
      <w:tabs>
        <w:tab w:val="center" w:pos="4677"/>
        <w:tab w:val="right" w:pos="9355"/>
      </w:tabs>
    </w:pPr>
  </w:style>
  <w:style w:type="character" w:customStyle="1" w:styleId="aa">
    <w:name w:val="Нижний колонтитул Знак"/>
    <w:basedOn w:val="a0"/>
    <w:link w:val="a9"/>
    <w:uiPriority w:val="99"/>
    <w:rsid w:val="00DE184C"/>
    <w:rPr>
      <w:rFonts w:ascii="Times New Roman" w:eastAsia="Times New Roman" w:hAnsi="Times New Roman" w:cs="Times New Roman"/>
      <w:sz w:val="24"/>
      <w:szCs w:val="24"/>
      <w:lang w:val="uk-UA" w:eastAsia="uk-UA"/>
    </w:rPr>
  </w:style>
  <w:style w:type="paragraph" w:styleId="ab">
    <w:name w:val="List Paragraph"/>
    <w:basedOn w:val="a"/>
    <w:uiPriority w:val="34"/>
    <w:qFormat/>
    <w:rsid w:val="00072E4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184C"/>
    <w:pPr>
      <w:spacing w:after="0" w:line="240" w:lineRule="auto"/>
    </w:pPr>
    <w:rPr>
      <w:rFonts w:ascii="Times New Roman" w:eastAsia="Times New Roman" w:hAnsi="Times New Roman" w:cs="Times New Roman"/>
      <w:sz w:val="24"/>
      <w:szCs w:val="24"/>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DE184C"/>
    <w:pPr>
      <w:jc w:val="center"/>
    </w:pPr>
    <w:rPr>
      <w:b/>
      <w:sz w:val="28"/>
      <w:szCs w:val="20"/>
      <w:lang w:eastAsia="ru-RU"/>
    </w:rPr>
  </w:style>
  <w:style w:type="character" w:customStyle="1" w:styleId="a4">
    <w:name w:val="Название Знак"/>
    <w:basedOn w:val="a0"/>
    <w:link w:val="a3"/>
    <w:rsid w:val="00DE184C"/>
    <w:rPr>
      <w:rFonts w:ascii="Times New Roman" w:eastAsia="Times New Roman" w:hAnsi="Times New Roman" w:cs="Times New Roman"/>
      <w:b/>
      <w:sz w:val="28"/>
      <w:szCs w:val="20"/>
      <w:lang w:val="uk-UA" w:eastAsia="ru-RU"/>
    </w:rPr>
  </w:style>
  <w:style w:type="paragraph" w:customStyle="1" w:styleId="FR1">
    <w:name w:val="FR1"/>
    <w:rsid w:val="00DE184C"/>
    <w:pPr>
      <w:widowControl w:val="0"/>
      <w:spacing w:after="0" w:line="259" w:lineRule="auto"/>
      <w:ind w:firstLine="680"/>
    </w:pPr>
    <w:rPr>
      <w:rFonts w:ascii="Times New Roman" w:eastAsia="Times New Roman" w:hAnsi="Times New Roman" w:cs="Times New Roman"/>
      <w:sz w:val="28"/>
      <w:szCs w:val="20"/>
      <w:lang w:val="uk-UA" w:eastAsia="ru-RU"/>
    </w:rPr>
  </w:style>
  <w:style w:type="paragraph" w:customStyle="1" w:styleId="1">
    <w:name w:val="Без интервала1"/>
    <w:rsid w:val="00DE184C"/>
    <w:pPr>
      <w:spacing w:after="0" w:line="240" w:lineRule="auto"/>
    </w:pPr>
    <w:rPr>
      <w:rFonts w:ascii="Calibri" w:eastAsia="Times New Roman" w:hAnsi="Calibri" w:cs="Times New Roman"/>
      <w:lang w:eastAsia="ru-RU"/>
    </w:rPr>
  </w:style>
  <w:style w:type="character" w:customStyle="1" w:styleId="rvts7">
    <w:name w:val="rvts7"/>
    <w:rsid w:val="00DE184C"/>
  </w:style>
  <w:style w:type="paragraph" w:styleId="a5">
    <w:name w:val="Balloon Text"/>
    <w:basedOn w:val="a"/>
    <w:link w:val="a6"/>
    <w:uiPriority w:val="99"/>
    <w:semiHidden/>
    <w:unhideWhenUsed/>
    <w:rsid w:val="00DE184C"/>
    <w:rPr>
      <w:rFonts w:ascii="Tahoma" w:hAnsi="Tahoma" w:cs="Tahoma"/>
      <w:sz w:val="16"/>
      <w:szCs w:val="16"/>
    </w:rPr>
  </w:style>
  <w:style w:type="character" w:customStyle="1" w:styleId="a6">
    <w:name w:val="Текст выноски Знак"/>
    <w:basedOn w:val="a0"/>
    <w:link w:val="a5"/>
    <w:uiPriority w:val="99"/>
    <w:semiHidden/>
    <w:rsid w:val="00DE184C"/>
    <w:rPr>
      <w:rFonts w:ascii="Tahoma" w:eastAsia="Times New Roman" w:hAnsi="Tahoma" w:cs="Tahoma"/>
      <w:sz w:val="16"/>
      <w:szCs w:val="16"/>
      <w:lang w:val="uk-UA" w:eastAsia="uk-UA"/>
    </w:rPr>
  </w:style>
  <w:style w:type="paragraph" w:styleId="a7">
    <w:name w:val="header"/>
    <w:basedOn w:val="a"/>
    <w:link w:val="a8"/>
    <w:uiPriority w:val="99"/>
    <w:unhideWhenUsed/>
    <w:rsid w:val="00DE184C"/>
    <w:pPr>
      <w:tabs>
        <w:tab w:val="center" w:pos="4677"/>
        <w:tab w:val="right" w:pos="9355"/>
      </w:tabs>
    </w:pPr>
  </w:style>
  <w:style w:type="character" w:customStyle="1" w:styleId="a8">
    <w:name w:val="Верхний колонтитул Знак"/>
    <w:basedOn w:val="a0"/>
    <w:link w:val="a7"/>
    <w:uiPriority w:val="99"/>
    <w:rsid w:val="00DE184C"/>
    <w:rPr>
      <w:rFonts w:ascii="Times New Roman" w:eastAsia="Times New Roman" w:hAnsi="Times New Roman" w:cs="Times New Roman"/>
      <w:sz w:val="24"/>
      <w:szCs w:val="24"/>
      <w:lang w:val="uk-UA" w:eastAsia="uk-UA"/>
    </w:rPr>
  </w:style>
  <w:style w:type="paragraph" w:styleId="a9">
    <w:name w:val="footer"/>
    <w:basedOn w:val="a"/>
    <w:link w:val="aa"/>
    <w:uiPriority w:val="99"/>
    <w:unhideWhenUsed/>
    <w:rsid w:val="00DE184C"/>
    <w:pPr>
      <w:tabs>
        <w:tab w:val="center" w:pos="4677"/>
        <w:tab w:val="right" w:pos="9355"/>
      </w:tabs>
    </w:pPr>
  </w:style>
  <w:style w:type="character" w:customStyle="1" w:styleId="aa">
    <w:name w:val="Нижний колонтитул Знак"/>
    <w:basedOn w:val="a0"/>
    <w:link w:val="a9"/>
    <w:uiPriority w:val="99"/>
    <w:rsid w:val="00DE184C"/>
    <w:rPr>
      <w:rFonts w:ascii="Times New Roman" w:eastAsia="Times New Roman" w:hAnsi="Times New Roman" w:cs="Times New Roman"/>
      <w:sz w:val="24"/>
      <w:szCs w:val="24"/>
      <w:lang w:val="uk-UA" w:eastAsia="uk-UA"/>
    </w:rPr>
  </w:style>
  <w:style w:type="paragraph" w:styleId="ab">
    <w:name w:val="List Paragraph"/>
    <w:basedOn w:val="a"/>
    <w:uiPriority w:val="34"/>
    <w:qFormat/>
    <w:rsid w:val="00072E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024809">
      <w:bodyDiv w:val="1"/>
      <w:marLeft w:val="0"/>
      <w:marRight w:val="0"/>
      <w:marTop w:val="0"/>
      <w:marBottom w:val="0"/>
      <w:divBdr>
        <w:top w:val="none" w:sz="0" w:space="0" w:color="auto"/>
        <w:left w:val="none" w:sz="0" w:space="0" w:color="auto"/>
        <w:bottom w:val="none" w:sz="0" w:space="0" w:color="auto"/>
        <w:right w:val="none" w:sz="0" w:space="0" w:color="auto"/>
      </w:divBdr>
    </w:div>
    <w:div w:id="1968047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1</Pages>
  <Words>5506</Words>
  <Characters>31385</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36818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sekretar</dc:creator>
  <cp:keywords/>
  <dc:description/>
  <cp:lastModifiedBy>sekretar</cp:lastModifiedBy>
  <cp:revision>8</cp:revision>
  <cp:lastPrinted>2020-04-27T09:04:00Z</cp:lastPrinted>
  <dcterms:created xsi:type="dcterms:W3CDTF">2020-02-26T07:47:00Z</dcterms:created>
  <dcterms:modified xsi:type="dcterms:W3CDTF">2020-04-27T09:04:00Z</dcterms:modified>
</cp:coreProperties>
</file>