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83" w:rsidRPr="00CE4E25" w:rsidRDefault="00712383" w:rsidP="00712383">
      <w:pPr>
        <w:spacing w:line="240" w:lineRule="auto"/>
        <w:jc w:val="right"/>
        <w:rPr>
          <w:b/>
          <w:lang w:val="uk-UA"/>
        </w:rPr>
      </w:pPr>
      <w:bookmarkStart w:id="0" w:name="_GoBack"/>
      <w:bookmarkEnd w:id="0"/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sz w:val="24"/>
          <w:szCs w:val="24"/>
          <w:lang w:val="uk-UA" w:eastAsia="ar-SA"/>
        </w:rPr>
      </w:pPr>
      <w:r w:rsidRPr="00804EA4"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8001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86" y="21016"/>
                <wp:lineTo x="210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bCs/>
          <w:sz w:val="24"/>
          <w:szCs w:val="24"/>
          <w:lang w:val="uk-UA" w:eastAsia="ar-SA"/>
        </w:rPr>
      </w:pPr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712383" w:rsidRPr="00804EA4" w:rsidRDefault="00712383" w:rsidP="00712383">
      <w:pPr>
        <w:suppressAutoHyphens/>
        <w:spacing w:line="240" w:lineRule="auto"/>
        <w:jc w:val="center"/>
        <w:rPr>
          <w:rFonts w:eastAsia="Times New Roman"/>
          <w:b/>
          <w:bCs/>
          <w:lang w:val="uk-UA" w:eastAsia="ar-SA"/>
        </w:rPr>
      </w:pPr>
    </w:p>
    <w:p w:rsidR="00712383" w:rsidRPr="00804EA4" w:rsidRDefault="00712383" w:rsidP="00712383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КРЕМЕНЧУЦЬКА МІСЬКА РАДА</w:t>
      </w:r>
    </w:p>
    <w:p w:rsidR="00712383" w:rsidRPr="00804EA4" w:rsidRDefault="00712383" w:rsidP="00712383">
      <w:pPr>
        <w:suppressAutoHyphens/>
        <w:spacing w:before="160" w:after="160" w:line="240" w:lineRule="auto"/>
        <w:jc w:val="center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ПОЛТАВСЬКОЇ ОБЛАСТІ</w:t>
      </w:r>
    </w:p>
    <w:p w:rsidR="00712383" w:rsidRPr="00804EA4" w:rsidRDefault="00712383" w:rsidP="00712383">
      <w:pPr>
        <w:suppressAutoHyphens/>
        <w:spacing w:before="160" w:after="160" w:line="240" w:lineRule="auto"/>
        <w:jc w:val="center"/>
        <w:rPr>
          <w:rFonts w:eastAsia="Times New Roman"/>
          <w:b/>
          <w:bCs/>
          <w:color w:val="000000"/>
          <w:lang w:val="uk-UA" w:eastAsia="ar-SA"/>
        </w:rPr>
      </w:pPr>
      <w:r w:rsidRPr="00804EA4">
        <w:rPr>
          <w:rFonts w:eastAsia="Times New Roman"/>
          <w:b/>
          <w:bCs/>
          <w:color w:val="000000"/>
          <w:lang w:val="en-US" w:eastAsia="ar-SA"/>
        </w:rPr>
        <w:t>X</w:t>
      </w:r>
      <w:r>
        <w:rPr>
          <w:rFonts w:eastAsia="Times New Roman"/>
          <w:b/>
          <w:bCs/>
          <w:color w:val="000000"/>
          <w:lang w:val="en-US" w:eastAsia="ar-SA"/>
        </w:rPr>
        <w:t>L</w:t>
      </w:r>
      <w:r w:rsidRPr="00804EA4">
        <w:rPr>
          <w:rFonts w:eastAsia="Times New Roman"/>
          <w:b/>
          <w:bCs/>
          <w:color w:val="000000"/>
          <w:lang w:val="uk-UA" w:eastAsia="ar-SA"/>
        </w:rPr>
        <w:t xml:space="preserve"> СЕСІЯ МІСЬКОЇ РАДИ VІІ СКЛИКАННЯ</w:t>
      </w:r>
    </w:p>
    <w:p w:rsidR="00712383" w:rsidRPr="00804EA4" w:rsidRDefault="00712383" w:rsidP="00712383">
      <w:pPr>
        <w:keepNext/>
        <w:numPr>
          <w:ilvl w:val="0"/>
          <w:numId w:val="1"/>
        </w:numPr>
        <w:suppressAutoHyphens/>
        <w:spacing w:before="160" w:after="160" w:line="240" w:lineRule="auto"/>
        <w:jc w:val="center"/>
        <w:outlineLvl w:val="0"/>
        <w:rPr>
          <w:rFonts w:eastAsia="Times New Roman"/>
          <w:b/>
          <w:bCs/>
          <w:lang w:val="uk-UA" w:eastAsia="ar-SA"/>
        </w:rPr>
      </w:pPr>
      <w:r w:rsidRPr="00804EA4">
        <w:rPr>
          <w:rFonts w:eastAsia="Times New Roman"/>
          <w:b/>
          <w:bCs/>
          <w:lang w:val="uk-UA" w:eastAsia="ar-SA"/>
        </w:rPr>
        <w:t>РІШЕННЯ</w:t>
      </w:r>
    </w:p>
    <w:p w:rsidR="00712383" w:rsidRPr="00CE4E25" w:rsidRDefault="00712383" w:rsidP="00712383">
      <w:pPr>
        <w:spacing w:line="240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від 12 грудня 2019</w:t>
      </w:r>
      <w:r w:rsidRPr="00CE4E25">
        <w:rPr>
          <w:b/>
          <w:color w:val="000000"/>
          <w:lang w:val="uk-UA"/>
        </w:rPr>
        <w:t xml:space="preserve"> року                                                   </w:t>
      </w:r>
    </w:p>
    <w:p w:rsidR="00712383" w:rsidRPr="00CE4E25" w:rsidRDefault="00712383" w:rsidP="00712383">
      <w:pPr>
        <w:spacing w:line="240" w:lineRule="auto"/>
        <w:rPr>
          <w:rFonts w:eastAsia="Times New Roman"/>
          <w:sz w:val="24"/>
          <w:szCs w:val="24"/>
          <w:lang w:val="uk-UA" w:eastAsia="ru-RU"/>
        </w:rPr>
      </w:pPr>
      <w:r w:rsidRPr="00CE4E25">
        <w:rPr>
          <w:sz w:val="20"/>
          <w:szCs w:val="20"/>
          <w:lang w:val="uk-UA"/>
        </w:rPr>
        <w:t xml:space="preserve">м. Кременчук </w:t>
      </w:r>
      <w:r w:rsidRPr="00CE4E25">
        <w:rPr>
          <w:rFonts w:eastAsia="Times New Roman"/>
          <w:sz w:val="24"/>
          <w:szCs w:val="24"/>
          <w:lang w:val="uk-UA" w:eastAsia="ru-RU"/>
        </w:rPr>
        <w:t> </w:t>
      </w:r>
    </w:p>
    <w:p w:rsidR="00F94823" w:rsidRDefault="00F94823" w:rsidP="00C95A75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4928"/>
      </w:tblGrid>
      <w:tr w:rsidR="00F94823" w:rsidTr="00C95A7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94823" w:rsidRDefault="00F94823" w:rsidP="00C95A75">
            <w:pPr>
              <w:spacing w:line="240" w:lineRule="auto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 реорганізацію комунального закладу «Дитячий заклад оздоровлення та відпочинку «Зоряний» шляхом перетворення</w:t>
            </w:r>
          </w:p>
        </w:tc>
      </w:tr>
    </w:tbl>
    <w:p w:rsidR="003C2A3E" w:rsidRDefault="003C2A3E" w:rsidP="00C95A75">
      <w:pPr>
        <w:spacing w:line="120" w:lineRule="auto"/>
        <w:rPr>
          <w:b/>
          <w:bCs/>
          <w:lang w:val="uk-UA"/>
        </w:rPr>
      </w:pPr>
    </w:p>
    <w:p w:rsidR="003C2A3E" w:rsidRDefault="003C2A3E" w:rsidP="00B76872">
      <w:pPr>
        <w:pStyle w:val="a3"/>
        <w:jc w:val="both"/>
        <w:rPr>
          <w:rFonts w:cs="Times New Roman"/>
          <w:lang w:val="uk-UA"/>
        </w:rPr>
      </w:pPr>
      <w:r w:rsidRPr="00A17B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впровадження нових підходів щодо організації роботи закладів </w:t>
      </w:r>
      <w:r w:rsidR="00F94823">
        <w:rPr>
          <w:rFonts w:ascii="Times New Roman" w:hAnsi="Times New Roman" w:cs="Times New Roman"/>
          <w:sz w:val="28"/>
          <w:szCs w:val="28"/>
          <w:lang w:val="uk-UA"/>
        </w:rPr>
        <w:t xml:space="preserve">оздоровлення та відпочинку </w:t>
      </w:r>
      <w:r w:rsidRPr="00A17B1D">
        <w:rPr>
          <w:rFonts w:ascii="Times New Roman" w:hAnsi="Times New Roman" w:cs="Times New Roman"/>
          <w:sz w:val="28"/>
          <w:szCs w:val="28"/>
          <w:lang w:val="uk-UA"/>
        </w:rPr>
        <w:t>та їх фінансового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забезпечення, підвищення ефективності використання бюджетних коштів, відповідно до ст.ст. 59, 63, 78 Господарського кодексу України, ст.ст. 104-108 Цивільного кодексу України, Закону України «Про держа</w:t>
      </w:r>
      <w:r w:rsidR="00D332F6">
        <w:rPr>
          <w:rFonts w:ascii="Times New Roman" w:hAnsi="Times New Roman" w:cs="Times New Roman"/>
          <w:sz w:val="28"/>
          <w:szCs w:val="28"/>
          <w:lang w:val="uk-UA"/>
        </w:rPr>
        <w:t xml:space="preserve">вну реєстрацію юридичних осіб,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фізичних осіб-підприємців та громадських формувань» та керуючись ст. 26, 60 Закону України «Про місцеве самоврядування в Україні»</w:t>
      </w:r>
      <w:r w:rsidR="00F94823">
        <w:rPr>
          <w:rFonts w:ascii="Times New Roman" w:hAnsi="Times New Roman" w:cs="Times New Roman"/>
          <w:sz w:val="28"/>
          <w:szCs w:val="28"/>
          <w:lang w:val="uk-UA"/>
        </w:rPr>
        <w:t>, Кременчуцька мі</w:t>
      </w:r>
      <w:r>
        <w:rPr>
          <w:rFonts w:ascii="Times New Roman" w:hAnsi="Times New Roman" w:cs="Times New Roman"/>
          <w:sz w:val="28"/>
          <w:szCs w:val="28"/>
          <w:lang w:val="uk-UA"/>
        </w:rPr>
        <w:t>ська рада</w:t>
      </w:r>
      <w:r w:rsidR="00F94823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 </w:t>
      </w:r>
    </w:p>
    <w:p w:rsidR="003C2A3E" w:rsidRDefault="003C2A3E" w:rsidP="00AC6DA1">
      <w:pPr>
        <w:spacing w:line="240" w:lineRule="auto"/>
        <w:ind w:firstLine="709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Реорганізувати </w:t>
      </w:r>
      <w:r w:rsidR="00F94823" w:rsidRPr="00F94823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F94823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F94823" w:rsidRPr="00F94823">
        <w:rPr>
          <w:rFonts w:ascii="Times New Roman" w:hAnsi="Times New Roman" w:cs="Times New Roman"/>
          <w:sz w:val="28"/>
          <w:szCs w:val="28"/>
          <w:lang w:val="uk-UA"/>
        </w:rPr>
        <w:t xml:space="preserve">заклад «Дитячий заклад оздоровлення та відпочинку «Зоряний»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шляхом перетворення в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522F68">
        <w:rPr>
          <w:rFonts w:ascii="Times New Roman" w:hAnsi="Times New Roman" w:cs="Times New Roman"/>
          <w:sz w:val="28"/>
          <w:szCs w:val="28"/>
          <w:lang w:val="uk-UA"/>
        </w:rPr>
        <w:t>овлення та відпочинку «Зоряний»</w:t>
      </w:r>
      <w:r w:rsidR="002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52C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522F68" w:rsidRPr="00820F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A3E" w:rsidRDefault="003C2A3E" w:rsidP="002C24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Визнати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22F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 xml:space="preserve">«Дитячий заклад оздоровлення та відпочинку «Зоряний»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правонаступником усього майна, прав та обов’язків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Закріпити  нерухоме та інше окреме індивідуально визначене майно, яке належить до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праві оперативного управління.</w:t>
      </w:r>
    </w:p>
    <w:p w:rsidR="00FD2686" w:rsidRDefault="00FD2686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Створити у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ому </w:t>
      </w:r>
      <w:r w:rsidRPr="00B76872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структурні підрозділи: </w:t>
      </w:r>
      <w:r w:rsidR="009A1011">
        <w:rPr>
          <w:rFonts w:ascii="Times New Roman" w:hAnsi="Times New Roman" w:cs="Times New Roman"/>
          <w:sz w:val="28"/>
          <w:szCs w:val="28"/>
          <w:lang w:val="uk-UA"/>
        </w:rPr>
        <w:t xml:space="preserve">філію </w:t>
      </w:r>
      <w:r w:rsidR="009A1011" w:rsidRPr="009A1011">
        <w:rPr>
          <w:rFonts w:ascii="Times New Roman" w:hAnsi="Times New Roman" w:cs="Times New Roman"/>
          <w:sz w:val="28"/>
          <w:szCs w:val="28"/>
          <w:lang w:val="uk-UA"/>
        </w:rPr>
        <w:t xml:space="preserve">«Спортивно-оздоровчий комплекс «Супутник» </w:t>
      </w:r>
      <w:r w:rsidR="009A1011">
        <w:rPr>
          <w:rFonts w:ascii="Times New Roman" w:hAnsi="Times New Roman" w:cs="Times New Roman"/>
          <w:sz w:val="28"/>
          <w:szCs w:val="28"/>
          <w:lang w:val="uk-UA"/>
        </w:rPr>
        <w:t xml:space="preserve">та філію </w:t>
      </w:r>
      <w:r w:rsidR="009A1011" w:rsidRPr="009A1011">
        <w:rPr>
          <w:rFonts w:ascii="Times New Roman" w:hAnsi="Times New Roman" w:cs="Times New Roman"/>
          <w:sz w:val="28"/>
          <w:szCs w:val="28"/>
          <w:lang w:val="uk-UA"/>
        </w:rPr>
        <w:t>«Центр підготовки працівників дитячих закладів оздоровлення та відпочинку «Зоряний небосхил»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без права реєстрації</w:t>
      </w:r>
      <w:r w:rsidR="002236C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2481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C71194">
        <w:rPr>
          <w:rFonts w:ascii="Times New Roman" w:hAnsi="Times New Roman" w:cs="Times New Roman"/>
          <w:sz w:val="28"/>
          <w:szCs w:val="28"/>
          <w:lang w:val="uk-UA"/>
        </w:rPr>
        <w:t xml:space="preserve">. Встановити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двомісячний строк для </w:t>
      </w:r>
      <w:proofErr w:type="spellStart"/>
      <w:r w:rsidR="003C2A3E">
        <w:rPr>
          <w:rFonts w:ascii="Times New Roman" w:hAnsi="Times New Roman" w:cs="Times New Roman"/>
          <w:sz w:val="28"/>
          <w:szCs w:val="28"/>
          <w:lang w:val="uk-UA"/>
        </w:rPr>
        <w:t>заявлення</w:t>
      </w:r>
      <w:proofErr w:type="spellEnd"/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кредиторами своїх вимог з дня опублікування повідомлення про рішення щодо реорганізації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Підпорядкувати новостворене 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 xml:space="preserve">«Дитячий заклад оздоровлення та відпочинку «Зоряний»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у справах сімей та дітей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виконавчого коміт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>ету Кременчуцької міської ради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22F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та затвердити комісію з реорганізації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(дода</w:t>
      </w:r>
      <w:r w:rsidR="00522F68">
        <w:rPr>
          <w:rFonts w:ascii="Times New Roman" w:hAnsi="Times New Roman" w:cs="Times New Roman"/>
          <w:sz w:val="28"/>
          <w:szCs w:val="28"/>
          <w:lang w:val="uk-UA"/>
        </w:rPr>
        <w:t>ток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 Уповноважити призначену комісію з реорганізації:</w:t>
      </w:r>
    </w:p>
    <w:p w:rsidR="00820F08" w:rsidRDefault="00C71194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52C">
        <w:rPr>
          <w:rFonts w:ascii="Times New Roman" w:hAnsi="Times New Roman"/>
          <w:sz w:val="28"/>
          <w:szCs w:val="28"/>
          <w:lang w:val="uk-UA"/>
        </w:rPr>
        <w:t xml:space="preserve">8.1. </w:t>
      </w:r>
      <w:r w:rsidR="00522F68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триденний термін з дати прийняття цього рішення </w:t>
      </w:r>
      <w:r w:rsidR="00820F08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повідомити державного реєстратора про рішення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щодо реорганізації </w:t>
      </w:r>
      <w:r w:rsidR="00820F08" w:rsidRPr="00F94823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820F08" w:rsidRPr="00F94823">
        <w:rPr>
          <w:rFonts w:ascii="Times New Roman" w:hAnsi="Times New Roman" w:cs="Times New Roman"/>
          <w:sz w:val="28"/>
          <w:szCs w:val="28"/>
          <w:lang w:val="uk-UA"/>
        </w:rPr>
        <w:t>заклад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0F08" w:rsidRPr="00F94823">
        <w:rPr>
          <w:rFonts w:ascii="Times New Roman" w:hAnsi="Times New Roman" w:cs="Times New Roman"/>
          <w:sz w:val="28"/>
          <w:szCs w:val="28"/>
          <w:lang w:val="uk-UA"/>
        </w:rPr>
        <w:t xml:space="preserve"> «Дитячий заклад оздоровлення та відпочинку «Зоряний»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шляхом перетворення в </w:t>
      </w:r>
      <w:r w:rsidR="00820F08"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20F08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20F08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820F08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овлення та відпочинку «Зоряний»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F08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та подати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 </w:t>
      </w:r>
      <w:r w:rsidR="00820F08" w:rsidRPr="0027752C">
        <w:rPr>
          <w:rFonts w:ascii="Times New Roman" w:hAnsi="Times New Roman" w:cs="Times New Roman"/>
          <w:sz w:val="28"/>
          <w:szCs w:val="28"/>
          <w:lang w:val="uk-UA"/>
        </w:rPr>
        <w:t>необхідні документи для внесення до Єдиного державн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ого реєстру відповідних записів. 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52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. У встановленому 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 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рядку, після закінчення строку 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двох місяців для пред’явлення вимог кредиторами, 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>скласти</w:t>
      </w:r>
      <w:r w:rsidR="00785ABA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>передавальні акти з висновками комісії</w:t>
      </w:r>
      <w:r w:rsidR="00785ABA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>подати</w:t>
      </w:r>
      <w:r w:rsidR="00785ABA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BDF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на затвердження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сесії</w:t>
      </w:r>
      <w:r w:rsidR="003C2A3E" w:rsidRPr="0027752C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Полтавської області.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5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Після затвердження передавального акту 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сесією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Кременчуцько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місько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області, подати державному реєст</w:t>
      </w:r>
      <w:r w:rsidR="00332BDF">
        <w:rPr>
          <w:rFonts w:ascii="Times New Roman" w:hAnsi="Times New Roman" w:cs="Times New Roman"/>
          <w:sz w:val="28"/>
          <w:szCs w:val="28"/>
          <w:lang w:val="uk-UA"/>
        </w:rPr>
        <w:t xml:space="preserve">ратору документи, необхідні для проведення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реєстрації 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85A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Полтавської області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2481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32BD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2BD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становленому законодавством порядку забезпечити дотримання соціально-правових гарантій працівників реорганізованого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закладу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BDF" w:rsidRDefault="009A1011" w:rsidP="00332BD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32BDF" w:rsidRPr="00AD0E95">
        <w:rPr>
          <w:rFonts w:ascii="Times New Roman" w:hAnsi="Times New Roman"/>
          <w:sz w:val="28"/>
          <w:szCs w:val="28"/>
          <w:lang w:val="uk-UA"/>
        </w:rPr>
        <w:t xml:space="preserve">Здійснити інші заходи, пов’язані із реорганізацією </w:t>
      </w:r>
      <w:r w:rsidR="00332BDF">
        <w:rPr>
          <w:rFonts w:ascii="Times New Roman" w:hAnsi="Times New Roman"/>
          <w:sz w:val="28"/>
          <w:szCs w:val="28"/>
          <w:lang w:val="uk-UA"/>
        </w:rPr>
        <w:t>закладу</w:t>
      </w:r>
      <w:r w:rsidR="00332BDF" w:rsidRPr="00AD0E95">
        <w:rPr>
          <w:rFonts w:ascii="Times New Roman" w:hAnsi="Times New Roman"/>
          <w:sz w:val="28"/>
          <w:szCs w:val="28"/>
          <w:lang w:val="uk-UA"/>
        </w:rPr>
        <w:t>, в порядку, встановленому законодавством України.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 Визначити, що у разі відсутності голови комісії з реорганізації, виконання його обов’язків покладається на заступника голови комісії.</w:t>
      </w:r>
    </w:p>
    <w:p w:rsidR="003C2A3E" w:rsidRDefault="009A1011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Управлінню </w:t>
      </w:r>
      <w:r w:rsidR="002C2481">
        <w:rPr>
          <w:rFonts w:ascii="Times New Roman" w:hAnsi="Times New Roman" w:cs="Times New Roman"/>
          <w:sz w:val="28"/>
          <w:szCs w:val="28"/>
          <w:lang w:val="uk-UA"/>
        </w:rPr>
        <w:t xml:space="preserve">у справах сімей та дітей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Кременчуцької міської ради підготувати та надати на затвердження </w:t>
      </w:r>
      <w:r w:rsidR="0055632D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Полтавської області статут комунального 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>некомерційн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2A3E" w:rsidRPr="00B7687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2C2481" w:rsidRPr="00F94823">
        <w:rPr>
          <w:rFonts w:ascii="Times New Roman" w:hAnsi="Times New Roman" w:cs="Times New Roman"/>
          <w:sz w:val="28"/>
          <w:szCs w:val="28"/>
          <w:lang w:val="uk-UA"/>
        </w:rPr>
        <w:t>«Дитячий заклад оздоровлення та відпочинку «Зоряний»</w:t>
      </w:r>
      <w:r w:rsidR="00820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F08" w:rsidRPr="00820F08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ради Полтавської області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101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Оприлюднити рішення відповідно до вимог законодавства.</w:t>
      </w:r>
    </w:p>
    <w:p w:rsidR="003C2A3E" w:rsidRDefault="003C2A3E" w:rsidP="00AC6D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1011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="00712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П. та постійну депутатську комісію з питань освіти, молоді, культури, спорту, розгляду питань з АТО, соціального захисту населення, охорони здоров’я, материнства та дитинства (голова комісії Терещенко Д.</w:t>
      </w:r>
      <w:r w:rsidR="00712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Ю.).</w:t>
      </w:r>
    </w:p>
    <w:p w:rsidR="00C95A75" w:rsidRDefault="00C95A75" w:rsidP="002236C7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2236C7">
      <w:pPr>
        <w:spacing w:line="24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Міський голова                                      </w:t>
      </w:r>
      <w:r w:rsidR="002C2481">
        <w:rPr>
          <w:b/>
          <w:bCs/>
          <w:lang w:val="uk-UA"/>
        </w:rPr>
        <w:t xml:space="preserve">                             </w:t>
      </w:r>
      <w:r w:rsidR="00B9560A">
        <w:rPr>
          <w:b/>
          <w:bCs/>
          <w:lang w:val="uk-UA"/>
        </w:rPr>
        <w:t xml:space="preserve">         </w:t>
      </w:r>
      <w:r w:rsidR="002C2481">
        <w:rPr>
          <w:b/>
          <w:bCs/>
          <w:lang w:val="uk-UA"/>
        </w:rPr>
        <w:t>В.</w:t>
      </w:r>
      <w:r>
        <w:rPr>
          <w:b/>
          <w:bCs/>
          <w:lang w:val="uk-UA"/>
        </w:rPr>
        <w:t xml:space="preserve"> МАЛЕЦЬКИЙ</w:t>
      </w:r>
    </w:p>
    <w:sectPr w:rsidR="003C2A3E" w:rsidSect="00712383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BC6522"/>
    <w:multiLevelType w:val="hybridMultilevel"/>
    <w:tmpl w:val="9EAC9FD8"/>
    <w:lvl w:ilvl="0" w:tplc="03505C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5547C"/>
    <w:rsid w:val="0011024D"/>
    <w:rsid w:val="00166766"/>
    <w:rsid w:val="00213A21"/>
    <w:rsid w:val="002236C7"/>
    <w:rsid w:val="0027752C"/>
    <w:rsid w:val="002C2481"/>
    <w:rsid w:val="002D3227"/>
    <w:rsid w:val="00332BDF"/>
    <w:rsid w:val="00340037"/>
    <w:rsid w:val="003B48BF"/>
    <w:rsid w:val="003C2A3E"/>
    <w:rsid w:val="003D232E"/>
    <w:rsid w:val="003E143B"/>
    <w:rsid w:val="004040B4"/>
    <w:rsid w:val="00466600"/>
    <w:rsid w:val="00495CEA"/>
    <w:rsid w:val="0050044B"/>
    <w:rsid w:val="00522F68"/>
    <w:rsid w:val="00545BF2"/>
    <w:rsid w:val="0055632D"/>
    <w:rsid w:val="005646F7"/>
    <w:rsid w:val="005D1FA9"/>
    <w:rsid w:val="005D6CD5"/>
    <w:rsid w:val="005E5DBC"/>
    <w:rsid w:val="00610DCC"/>
    <w:rsid w:val="00622EB8"/>
    <w:rsid w:val="006411FC"/>
    <w:rsid w:val="006925DD"/>
    <w:rsid w:val="00712383"/>
    <w:rsid w:val="00747636"/>
    <w:rsid w:val="00785ABA"/>
    <w:rsid w:val="00820F08"/>
    <w:rsid w:val="00836E09"/>
    <w:rsid w:val="00887F4C"/>
    <w:rsid w:val="008F0681"/>
    <w:rsid w:val="0096459F"/>
    <w:rsid w:val="0096511D"/>
    <w:rsid w:val="009A1011"/>
    <w:rsid w:val="009A759E"/>
    <w:rsid w:val="009E1922"/>
    <w:rsid w:val="00A17B1D"/>
    <w:rsid w:val="00AC6DA1"/>
    <w:rsid w:val="00B3685B"/>
    <w:rsid w:val="00B5115F"/>
    <w:rsid w:val="00B76872"/>
    <w:rsid w:val="00B9560A"/>
    <w:rsid w:val="00BB3386"/>
    <w:rsid w:val="00BF2B1A"/>
    <w:rsid w:val="00C17162"/>
    <w:rsid w:val="00C46187"/>
    <w:rsid w:val="00C71194"/>
    <w:rsid w:val="00C84B77"/>
    <w:rsid w:val="00C95A75"/>
    <w:rsid w:val="00CA67E8"/>
    <w:rsid w:val="00CB34AF"/>
    <w:rsid w:val="00D332F6"/>
    <w:rsid w:val="00D34A24"/>
    <w:rsid w:val="00D614B4"/>
    <w:rsid w:val="00D71B6C"/>
    <w:rsid w:val="00D736C5"/>
    <w:rsid w:val="00D8002E"/>
    <w:rsid w:val="00D838C1"/>
    <w:rsid w:val="00E0334F"/>
    <w:rsid w:val="00EC43E2"/>
    <w:rsid w:val="00F46055"/>
    <w:rsid w:val="00F755A6"/>
    <w:rsid w:val="00F85D86"/>
    <w:rsid w:val="00F94823"/>
    <w:rsid w:val="00FA325D"/>
    <w:rsid w:val="00FD2686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BF7775-7084-4FEC-9C57-F6A68D68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10</cp:revision>
  <cp:lastPrinted>2019-12-13T06:05:00Z</cp:lastPrinted>
  <dcterms:created xsi:type="dcterms:W3CDTF">2019-11-12T06:59:00Z</dcterms:created>
  <dcterms:modified xsi:type="dcterms:W3CDTF">2019-12-13T06:09:00Z</dcterms:modified>
</cp:coreProperties>
</file>