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0B" w:rsidRDefault="002B3A0B" w:rsidP="002B3A0B">
      <w:pPr>
        <w:tabs>
          <w:tab w:val="left" w:pos="6237"/>
          <w:tab w:val="left" w:pos="6840"/>
          <w:tab w:val="left" w:pos="7938"/>
        </w:tabs>
        <w:ind w:firstLine="6237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2B3A0B" w:rsidRDefault="002B3A0B" w:rsidP="002B3A0B">
      <w:pPr>
        <w:tabs>
          <w:tab w:val="left" w:pos="6237"/>
          <w:tab w:val="left" w:pos="6840"/>
          <w:tab w:val="left" w:pos="7938"/>
        </w:tabs>
        <w:ind w:firstLine="6237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до рішення Кременчуцької  </w:t>
      </w:r>
    </w:p>
    <w:p w:rsidR="002B3A0B" w:rsidRDefault="002B3A0B" w:rsidP="002B3A0B">
      <w:pPr>
        <w:tabs>
          <w:tab w:val="left" w:pos="6237"/>
          <w:tab w:val="left" w:pos="6840"/>
          <w:tab w:val="left" w:pos="7938"/>
        </w:tabs>
        <w:ind w:firstLine="6237"/>
        <w:jc w:val="both"/>
        <w:rPr>
          <w:sz w:val="28"/>
          <w:szCs w:val="28"/>
        </w:rPr>
      </w:pPr>
      <w:r w:rsidRPr="00FB7ED5">
        <w:rPr>
          <w:sz w:val="28"/>
          <w:szCs w:val="28"/>
        </w:rPr>
        <w:t>міської ради</w:t>
      </w:r>
    </w:p>
    <w:p w:rsidR="002B3A0B" w:rsidRPr="00FB7ED5" w:rsidRDefault="002B3A0B" w:rsidP="002B3A0B">
      <w:pPr>
        <w:tabs>
          <w:tab w:val="left" w:pos="6237"/>
          <w:tab w:val="left" w:pos="6840"/>
          <w:tab w:val="left" w:pos="7938"/>
        </w:tabs>
        <w:ind w:firstLine="6237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від </w:t>
      </w:r>
      <w:r w:rsidR="00265EBB">
        <w:rPr>
          <w:sz w:val="28"/>
          <w:szCs w:val="28"/>
          <w:lang w:val="ru-RU"/>
        </w:rPr>
        <w:t xml:space="preserve">3 </w:t>
      </w:r>
      <w:proofErr w:type="spellStart"/>
      <w:r w:rsidR="00265EBB">
        <w:rPr>
          <w:sz w:val="28"/>
          <w:szCs w:val="28"/>
          <w:lang w:val="ru-RU"/>
        </w:rPr>
        <w:t>вересня</w:t>
      </w:r>
      <w:proofErr w:type="spellEnd"/>
      <w:r>
        <w:rPr>
          <w:sz w:val="28"/>
          <w:szCs w:val="28"/>
        </w:rPr>
        <w:t xml:space="preserve"> </w:t>
      </w:r>
      <w:r w:rsidRPr="00FB7ED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B7ED5">
        <w:rPr>
          <w:sz w:val="28"/>
          <w:szCs w:val="28"/>
        </w:rPr>
        <w:t xml:space="preserve"> року </w:t>
      </w:r>
    </w:p>
    <w:p w:rsidR="002B3A0B" w:rsidRDefault="002B3A0B" w:rsidP="002B3A0B">
      <w:pPr>
        <w:jc w:val="center"/>
        <w:rPr>
          <w:b/>
          <w:sz w:val="28"/>
          <w:szCs w:val="28"/>
        </w:rPr>
      </w:pPr>
    </w:p>
    <w:p w:rsidR="002B3A0B" w:rsidRDefault="002B3A0B" w:rsidP="002B3A0B">
      <w:pPr>
        <w:jc w:val="center"/>
        <w:rPr>
          <w:b/>
          <w:sz w:val="28"/>
          <w:szCs w:val="28"/>
        </w:rPr>
      </w:pPr>
    </w:p>
    <w:p w:rsidR="002B3A0B" w:rsidRPr="00FB7ED5" w:rsidRDefault="002B3A0B" w:rsidP="002B3A0B">
      <w:pPr>
        <w:jc w:val="center"/>
        <w:rPr>
          <w:b/>
          <w:sz w:val="28"/>
          <w:szCs w:val="28"/>
        </w:rPr>
      </w:pPr>
    </w:p>
    <w:p w:rsidR="002B3A0B" w:rsidRDefault="002B3A0B" w:rsidP="002B3A0B">
      <w:pPr>
        <w:jc w:val="center"/>
        <w:rPr>
          <w:b/>
          <w:bCs/>
          <w:sz w:val="28"/>
          <w:szCs w:val="28"/>
        </w:rPr>
      </w:pPr>
      <w:r w:rsidRPr="00FB7ED5">
        <w:rPr>
          <w:b/>
          <w:bCs/>
          <w:sz w:val="28"/>
          <w:szCs w:val="28"/>
        </w:rPr>
        <w:t>Орієнтовні обсяги</w:t>
      </w:r>
      <w:r>
        <w:rPr>
          <w:sz w:val="28"/>
          <w:szCs w:val="28"/>
        </w:rPr>
        <w:t xml:space="preserve"> </w:t>
      </w:r>
      <w:r w:rsidRPr="00FB7ED5">
        <w:rPr>
          <w:b/>
          <w:bCs/>
          <w:sz w:val="28"/>
          <w:szCs w:val="28"/>
        </w:rPr>
        <w:t xml:space="preserve">фінансування </w:t>
      </w:r>
    </w:p>
    <w:p w:rsidR="002B3A0B" w:rsidRPr="00A152E9" w:rsidRDefault="002B3A0B" w:rsidP="002B3A0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заходів з </w:t>
      </w:r>
      <w:r w:rsidRPr="002B3A0B">
        <w:rPr>
          <w:b/>
          <w:bCs/>
          <w:sz w:val="28"/>
          <w:szCs w:val="28"/>
        </w:rPr>
        <w:t>утримання міських кладовищ м</w:t>
      </w:r>
      <w:r>
        <w:rPr>
          <w:b/>
          <w:bCs/>
          <w:sz w:val="28"/>
          <w:szCs w:val="28"/>
        </w:rPr>
        <w:t>.</w:t>
      </w:r>
      <w:r w:rsidRPr="002B3A0B">
        <w:rPr>
          <w:b/>
          <w:bCs/>
          <w:sz w:val="28"/>
          <w:szCs w:val="28"/>
        </w:rPr>
        <w:t xml:space="preserve"> Кременчука на 2019 рік</w:t>
      </w:r>
      <w:r w:rsidRPr="00FB7ED5">
        <w:rPr>
          <w:b/>
          <w:bCs/>
          <w:sz w:val="28"/>
          <w:szCs w:val="28"/>
        </w:rPr>
        <w:t xml:space="preserve"> </w:t>
      </w:r>
    </w:p>
    <w:p w:rsidR="002B3A0B" w:rsidRPr="00265EBB" w:rsidRDefault="002B3A0B" w:rsidP="002B3A0B">
      <w:pPr>
        <w:jc w:val="right"/>
        <w:rPr>
          <w:b/>
          <w:bCs/>
          <w:i/>
          <w:color w:val="000000"/>
        </w:rPr>
      </w:pPr>
    </w:p>
    <w:tbl>
      <w:tblPr>
        <w:tblW w:w="9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77"/>
        <w:gridCol w:w="1712"/>
      </w:tblGrid>
      <w:tr w:rsidR="002B3A0B" w:rsidRPr="00683702" w:rsidTr="002B3A0B">
        <w:trPr>
          <w:trHeight w:val="534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№</w:t>
            </w:r>
          </w:p>
        </w:tc>
        <w:tc>
          <w:tcPr>
            <w:tcW w:w="767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 xml:space="preserve">Заходи </w:t>
            </w: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Витрати</w:t>
            </w:r>
            <w:proofErr w:type="spellEnd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 xml:space="preserve">, </w:t>
            </w: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тис</w:t>
            </w:r>
            <w:proofErr w:type="gram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.г</w:t>
            </w:r>
            <w:proofErr w:type="gramEnd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рн</w:t>
            </w:r>
            <w:proofErr w:type="spellEnd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.</w:t>
            </w:r>
          </w:p>
        </w:tc>
      </w:tr>
      <w:tr w:rsidR="002B3A0B" w:rsidRPr="00683702" w:rsidTr="002B3A0B">
        <w:trPr>
          <w:trHeight w:val="3931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color w:val="000000"/>
                <w:szCs w:val="21"/>
                <w:lang w:val="ru-RU" w:eastAsia="ru-RU"/>
              </w:rPr>
            </w:pPr>
            <w:r w:rsidRPr="001B4FD6">
              <w:rPr>
                <w:color w:val="000000"/>
                <w:szCs w:val="21"/>
                <w:lang w:val="ru-RU" w:eastAsia="ru-RU"/>
              </w:rPr>
              <w:t>1</w:t>
            </w: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  <w:p w:rsidR="002B3A0B" w:rsidRPr="001B4FD6" w:rsidRDefault="002B3A0B" w:rsidP="00D479B6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Прибирання доріг, алей, тротуарів, доріжок між секторами поховань, ритуальних майданчиків від сміття, листя та снігу, підтримання у належному стані могил героїв Радянського Союзу, Воїнів – Інтернаціоналістів, могил почесних громадян, надгробків та пам’ятників – 35 од.;</w:t>
            </w:r>
          </w:p>
          <w:p w:rsidR="002B3A0B" w:rsidRPr="007651C0" w:rsidRDefault="002B3A0B" w:rsidP="00D479B6">
            <w:pPr>
              <w:suppressAutoHyphens w:val="0"/>
              <w:jc w:val="both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з відділення судово-медичної експертизи та місця поховання мертвонародженої (померлої) дитини, від поховання якої відмовилися рідні;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Побілка бордюрів доріг, алей, тротуарів, доріжок між секторами поховань, ритуальних майданчиків;</w:t>
            </w:r>
          </w:p>
          <w:p w:rsidR="002B3A0B" w:rsidRPr="007651C0" w:rsidRDefault="002B3A0B" w:rsidP="00D479B6">
            <w:pPr>
              <w:suppressAutoHyphens w:val="0"/>
              <w:jc w:val="both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Покіс трави в літній період,  видалення шкідливих трав’янистих рослин на діючих кладовища;</w:t>
            </w:r>
          </w:p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Очищення урн від сміття на міських кладовищах;</w:t>
            </w:r>
          </w:p>
          <w:p w:rsidR="002B3A0B" w:rsidRPr="007651C0" w:rsidRDefault="002B3A0B" w:rsidP="00D479B6">
            <w:pPr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Прибирання громадських туалетів на кладовищах.</w:t>
            </w:r>
          </w:p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Навантаження та вивезення сміття з території кладовищ вантажними автомобілями</w:t>
            </w:r>
          </w:p>
        </w:tc>
        <w:tc>
          <w:tcPr>
            <w:tcW w:w="1712" w:type="dxa"/>
            <w:hideMark/>
          </w:tcPr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1B4FD6">
              <w:rPr>
                <w:b/>
                <w:bCs/>
                <w:color w:val="000000"/>
                <w:szCs w:val="22"/>
                <w:lang w:val="ru-RU" w:eastAsia="ru-RU"/>
              </w:rPr>
              <w:t>3 292,000</w:t>
            </w:r>
          </w:p>
        </w:tc>
      </w:tr>
      <w:tr w:rsidR="002B3A0B" w:rsidRPr="00683702" w:rsidTr="002B3A0B">
        <w:trPr>
          <w:trHeight w:val="326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Cs/>
                <w:color w:val="000000"/>
                <w:szCs w:val="21"/>
                <w:lang w:val="ru-RU" w:eastAsia="ru-RU"/>
              </w:rPr>
              <w:t>2</w:t>
            </w: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Поточний ремонт адміністративних будівель на кладовищах</w:t>
            </w:r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1B4FD6">
              <w:rPr>
                <w:color w:val="000000"/>
                <w:szCs w:val="22"/>
                <w:lang w:val="ru-RU" w:eastAsia="ru-RU"/>
              </w:rPr>
              <w:t>54,000</w:t>
            </w:r>
          </w:p>
        </w:tc>
      </w:tr>
      <w:tr w:rsidR="002B3A0B" w:rsidRPr="00683702" w:rsidTr="002B3A0B">
        <w:trPr>
          <w:trHeight w:val="326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Cs/>
                <w:color w:val="000000"/>
                <w:szCs w:val="21"/>
                <w:lang w:val="ru-RU" w:eastAsia="ru-RU"/>
              </w:rPr>
              <w:t>3</w:t>
            </w: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>Поточний ремонт ритуального майданчика</w:t>
            </w:r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1B4FD6">
              <w:rPr>
                <w:color w:val="000000"/>
                <w:szCs w:val="22"/>
                <w:lang w:val="ru-RU" w:eastAsia="ru-RU"/>
              </w:rPr>
              <w:t>50,000</w:t>
            </w:r>
          </w:p>
        </w:tc>
      </w:tr>
      <w:tr w:rsidR="002B3A0B" w:rsidRPr="00683702" w:rsidTr="002B3A0B">
        <w:trPr>
          <w:trHeight w:val="326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Cs/>
                <w:color w:val="000000"/>
                <w:szCs w:val="21"/>
                <w:lang w:val="ru-RU" w:eastAsia="ru-RU"/>
              </w:rPr>
              <w:t>4</w:t>
            </w:r>
          </w:p>
        </w:tc>
        <w:tc>
          <w:tcPr>
            <w:tcW w:w="7677" w:type="dxa"/>
            <w:vAlign w:val="center"/>
            <w:hideMark/>
          </w:tcPr>
          <w:p w:rsidR="002B3A0B" w:rsidRPr="007651C0" w:rsidRDefault="002B3A0B" w:rsidP="00D479B6">
            <w:pPr>
              <w:pStyle w:val="a3"/>
              <w:ind w:left="0"/>
              <w:rPr>
                <w:sz w:val="22"/>
                <w:lang w:val="uk-UA" w:eastAsia="ar-SA"/>
              </w:rPr>
            </w:pPr>
            <w:r w:rsidRPr="007651C0">
              <w:rPr>
                <w:sz w:val="22"/>
                <w:lang w:val="uk-UA" w:eastAsia="ar-SA"/>
              </w:rPr>
              <w:t xml:space="preserve">Розроблення документації із землеустрою для експлуатації та обслуговування кладовищ: по вул. Республіканській, по вул. Богдана Хмельницького, по вул. </w:t>
            </w:r>
            <w:proofErr w:type="spellStart"/>
            <w:r w:rsidRPr="007651C0">
              <w:rPr>
                <w:sz w:val="22"/>
                <w:lang w:val="uk-UA" w:eastAsia="ar-SA"/>
              </w:rPr>
              <w:t>Ревенка</w:t>
            </w:r>
            <w:proofErr w:type="spellEnd"/>
            <w:r w:rsidRPr="007651C0">
              <w:rPr>
                <w:sz w:val="22"/>
                <w:lang w:val="uk-UA" w:eastAsia="ar-SA"/>
              </w:rPr>
              <w:t xml:space="preserve">, по вул. </w:t>
            </w:r>
            <w:proofErr w:type="spellStart"/>
            <w:r w:rsidRPr="007651C0">
              <w:rPr>
                <w:sz w:val="22"/>
                <w:lang w:val="uk-UA" w:eastAsia="ar-SA"/>
              </w:rPr>
              <w:t>Чкалова</w:t>
            </w:r>
            <w:proofErr w:type="spellEnd"/>
            <w:r w:rsidRPr="007651C0">
              <w:rPr>
                <w:sz w:val="22"/>
                <w:lang w:val="uk-UA" w:eastAsia="ar-SA"/>
              </w:rPr>
              <w:t xml:space="preserve">, по пров. Людмили </w:t>
            </w:r>
            <w:proofErr w:type="spellStart"/>
            <w:r w:rsidRPr="007651C0">
              <w:rPr>
                <w:sz w:val="22"/>
                <w:lang w:val="uk-UA" w:eastAsia="ar-SA"/>
              </w:rPr>
              <w:t>Корабліної</w:t>
            </w:r>
            <w:proofErr w:type="spellEnd"/>
            <w:r w:rsidRPr="007651C0">
              <w:rPr>
                <w:sz w:val="22"/>
                <w:lang w:val="uk-UA" w:eastAsia="ar-SA"/>
              </w:rPr>
              <w:t xml:space="preserve">, по вул. Ломоносова </w:t>
            </w:r>
          </w:p>
        </w:tc>
        <w:tc>
          <w:tcPr>
            <w:tcW w:w="1712" w:type="dxa"/>
            <w:vAlign w:val="center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B4FD6">
              <w:rPr>
                <w:b/>
                <w:bCs/>
                <w:color w:val="000000"/>
                <w:szCs w:val="22"/>
                <w:lang w:eastAsia="ru-RU"/>
              </w:rPr>
              <w:t>393,000</w:t>
            </w:r>
          </w:p>
        </w:tc>
      </w:tr>
      <w:tr w:rsidR="002B3A0B" w:rsidRPr="00683702" w:rsidTr="002B3A0B">
        <w:trPr>
          <w:trHeight w:val="297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Cs/>
                <w:color w:val="000000"/>
                <w:szCs w:val="21"/>
                <w:lang w:val="ru-RU" w:eastAsia="ru-RU"/>
              </w:rPr>
              <w:t>5</w:t>
            </w:r>
          </w:p>
        </w:tc>
        <w:tc>
          <w:tcPr>
            <w:tcW w:w="7677" w:type="dxa"/>
            <w:vAlign w:val="center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 xml:space="preserve">Будівництво огорожі на </w:t>
            </w:r>
            <w:proofErr w:type="spellStart"/>
            <w:r w:rsidRPr="007651C0">
              <w:rPr>
                <w:sz w:val="22"/>
                <w:szCs w:val="20"/>
              </w:rPr>
              <w:t>Новоміському</w:t>
            </w:r>
            <w:proofErr w:type="spellEnd"/>
            <w:r w:rsidRPr="007651C0">
              <w:rPr>
                <w:sz w:val="22"/>
                <w:szCs w:val="20"/>
              </w:rPr>
              <w:t xml:space="preserve">  кладовищі (1300 м.)</w:t>
            </w:r>
          </w:p>
        </w:tc>
        <w:tc>
          <w:tcPr>
            <w:tcW w:w="1712" w:type="dxa"/>
            <w:vAlign w:val="center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1B4FD6">
              <w:rPr>
                <w:b/>
                <w:bCs/>
                <w:szCs w:val="22"/>
                <w:lang w:val="ru-RU" w:eastAsia="ru-RU"/>
              </w:rPr>
              <w:t>429,200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Cs/>
                <w:color w:val="000000"/>
                <w:szCs w:val="21"/>
                <w:lang w:val="ru-RU" w:eastAsia="ru-RU"/>
              </w:rPr>
              <w:t>6</w:t>
            </w:r>
          </w:p>
        </w:tc>
        <w:tc>
          <w:tcPr>
            <w:tcW w:w="7677" w:type="dxa"/>
            <w:vAlign w:val="center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 xml:space="preserve">Будівництво огорожі на </w:t>
            </w:r>
            <w:proofErr w:type="spellStart"/>
            <w:r w:rsidRPr="007651C0">
              <w:rPr>
                <w:sz w:val="22"/>
                <w:szCs w:val="20"/>
              </w:rPr>
              <w:t>Ревівському</w:t>
            </w:r>
            <w:proofErr w:type="spellEnd"/>
            <w:r w:rsidRPr="007651C0">
              <w:rPr>
                <w:sz w:val="22"/>
                <w:szCs w:val="20"/>
              </w:rPr>
              <w:t xml:space="preserve">  кладовищі (600 м.)</w:t>
            </w:r>
          </w:p>
        </w:tc>
        <w:tc>
          <w:tcPr>
            <w:tcW w:w="1712" w:type="dxa"/>
            <w:vAlign w:val="center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1B4FD6">
              <w:rPr>
                <w:b/>
                <w:bCs/>
                <w:szCs w:val="22"/>
                <w:lang w:val="ru-RU" w:eastAsia="ru-RU"/>
              </w:rPr>
              <w:t>198,000</w:t>
            </w:r>
          </w:p>
        </w:tc>
      </w:tr>
      <w:tr w:rsidR="002B3A0B" w:rsidRPr="00482645" w:rsidTr="002B3A0B">
        <w:trPr>
          <w:trHeight w:val="570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7</w:t>
            </w: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pStyle w:val="a3"/>
              <w:ind w:left="0"/>
              <w:jc w:val="both"/>
              <w:rPr>
                <w:sz w:val="22"/>
                <w:lang w:val="uk-UA" w:eastAsia="ar-SA"/>
              </w:rPr>
            </w:pPr>
            <w:r w:rsidRPr="007651C0">
              <w:rPr>
                <w:sz w:val="22"/>
                <w:lang w:val="uk-UA" w:eastAsia="ar-SA"/>
              </w:rPr>
              <w:t xml:space="preserve">Придбання 2 причепів ПТС-4,5 (з надставними  металевими бортами) на два трактори колісних </w:t>
            </w:r>
            <w:proofErr w:type="spellStart"/>
            <w:r w:rsidRPr="007651C0">
              <w:rPr>
                <w:sz w:val="22"/>
                <w:lang w:val="uk-UA" w:eastAsia="ar-SA"/>
              </w:rPr>
              <w:t>Foton</w:t>
            </w:r>
            <w:proofErr w:type="spellEnd"/>
            <w:r w:rsidRPr="007651C0">
              <w:rPr>
                <w:sz w:val="22"/>
                <w:lang w:val="uk-UA" w:eastAsia="ar-SA"/>
              </w:rPr>
              <w:t xml:space="preserve"> 504</w:t>
            </w:r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336,300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AF18A5" w:rsidRDefault="002B3A0B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AF18A5">
              <w:rPr>
                <w:color w:val="000000"/>
                <w:szCs w:val="22"/>
                <w:lang w:val="ru-RU" w:eastAsia="ru-RU"/>
              </w:rPr>
              <w:t>8</w:t>
            </w: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suppressAutoHyphens w:val="0"/>
              <w:rPr>
                <w:szCs w:val="20"/>
              </w:rPr>
            </w:pPr>
            <w:r w:rsidRPr="007651C0">
              <w:rPr>
                <w:sz w:val="22"/>
                <w:szCs w:val="20"/>
              </w:rPr>
              <w:t xml:space="preserve">Придбання екскаватора для навантаження та прибирання сміття, снігу Екскаватор </w:t>
            </w:r>
            <w:proofErr w:type="spellStart"/>
            <w:r w:rsidRPr="007651C0">
              <w:rPr>
                <w:sz w:val="22"/>
                <w:szCs w:val="20"/>
              </w:rPr>
              <w:t>Борекс</w:t>
            </w:r>
            <w:proofErr w:type="spellEnd"/>
            <w:r w:rsidRPr="007651C0">
              <w:rPr>
                <w:sz w:val="22"/>
                <w:szCs w:val="20"/>
              </w:rPr>
              <w:t xml:space="preserve"> 2626-01 (або аналог)</w:t>
            </w:r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 w:rsidRPr="00AF18A5">
              <w:rPr>
                <w:b/>
                <w:bCs/>
                <w:szCs w:val="21"/>
                <w:lang w:val="ru-RU" w:eastAsia="ru-RU"/>
              </w:rPr>
              <w:t>970</w:t>
            </w:r>
            <w:r>
              <w:rPr>
                <w:b/>
                <w:bCs/>
                <w:szCs w:val="21"/>
                <w:lang w:val="ru-RU" w:eastAsia="ru-RU"/>
              </w:rPr>
              <w:t>,</w:t>
            </w:r>
            <w:r w:rsidRPr="00AF18A5">
              <w:rPr>
                <w:b/>
                <w:bCs/>
                <w:szCs w:val="21"/>
                <w:lang w:val="ru-RU" w:eastAsia="ru-RU"/>
              </w:rPr>
              <w:t>000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2B3A0B" w:rsidRDefault="002B3A0B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2B3A0B">
              <w:rPr>
                <w:color w:val="000000"/>
                <w:szCs w:val="22"/>
                <w:lang w:val="ru-RU" w:eastAsia="ru-RU"/>
              </w:rPr>
              <w:t>9</w:t>
            </w:r>
          </w:p>
        </w:tc>
        <w:tc>
          <w:tcPr>
            <w:tcW w:w="7677" w:type="dxa"/>
            <w:hideMark/>
          </w:tcPr>
          <w:p w:rsidR="002B3A0B" w:rsidRPr="007651C0" w:rsidRDefault="002B3A0B" w:rsidP="00D479B6">
            <w:pPr>
              <w:suppressAutoHyphens w:val="0"/>
              <w:rPr>
                <w:b/>
                <w:bCs/>
                <w:szCs w:val="21"/>
                <w:lang w:val="ru-RU" w:eastAsia="ru-RU"/>
              </w:rPr>
            </w:pPr>
            <w:r w:rsidRPr="007651C0">
              <w:rPr>
                <w:sz w:val="22"/>
                <w:szCs w:val="20"/>
              </w:rPr>
              <w:t xml:space="preserve">Виконання зобов’язань, які виникли у 2018 році та </w:t>
            </w:r>
            <w:r w:rsidRPr="007651C0">
              <w:rPr>
                <w:color w:val="000000"/>
                <w:sz w:val="22"/>
                <w:szCs w:val="20"/>
                <w:shd w:val="clear" w:color="auto" w:fill="FFFFFF"/>
              </w:rPr>
              <w:t>не були профінансовані, на утримання міських кладовищ міста Кременчука (придбання запчастин та матеріалів)</w:t>
            </w:r>
          </w:p>
        </w:tc>
        <w:tc>
          <w:tcPr>
            <w:tcW w:w="1712" w:type="dxa"/>
            <w:hideMark/>
          </w:tcPr>
          <w:p w:rsidR="002B3A0B" w:rsidRDefault="0058001D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21,869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2B3A0B" w:rsidRDefault="002B3A0B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2B3A0B">
              <w:rPr>
                <w:color w:val="000000"/>
                <w:szCs w:val="22"/>
                <w:lang w:val="ru-RU" w:eastAsia="ru-RU"/>
              </w:rPr>
              <w:t>10</w:t>
            </w:r>
          </w:p>
        </w:tc>
        <w:tc>
          <w:tcPr>
            <w:tcW w:w="7677" w:type="dxa"/>
            <w:hideMark/>
          </w:tcPr>
          <w:p w:rsidR="002B3A0B" w:rsidRPr="007651C0" w:rsidRDefault="002B3A0B" w:rsidP="002B3A0B">
            <w:pPr>
              <w:suppressAutoHyphens w:val="0"/>
              <w:rPr>
                <w:b/>
                <w:bCs/>
                <w:szCs w:val="21"/>
                <w:lang w:val="ru-RU" w:eastAsia="ru-RU"/>
              </w:rPr>
            </w:pPr>
            <w:r w:rsidRPr="007651C0">
              <w:rPr>
                <w:sz w:val="22"/>
                <w:szCs w:val="20"/>
              </w:rPr>
              <w:t xml:space="preserve">Виконання зобов’язань, які виникли у 2018 році та </w:t>
            </w:r>
            <w:r w:rsidRPr="007651C0">
              <w:rPr>
                <w:color w:val="000000"/>
                <w:sz w:val="22"/>
                <w:szCs w:val="20"/>
                <w:shd w:val="clear" w:color="auto" w:fill="FFFFFF"/>
              </w:rPr>
              <w:t>не були профінансовані, на утримання міських кладовищ міста Кременчука (оплата наданих послуг)</w:t>
            </w:r>
          </w:p>
        </w:tc>
        <w:tc>
          <w:tcPr>
            <w:tcW w:w="1712" w:type="dxa"/>
            <w:hideMark/>
          </w:tcPr>
          <w:p w:rsidR="002B3A0B" w:rsidRDefault="0058001D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181,845</w:t>
            </w:r>
          </w:p>
        </w:tc>
      </w:tr>
      <w:tr w:rsidR="00106222" w:rsidRPr="00482645" w:rsidTr="002B3A0B">
        <w:trPr>
          <w:trHeight w:val="297"/>
        </w:trPr>
        <w:tc>
          <w:tcPr>
            <w:tcW w:w="567" w:type="dxa"/>
            <w:hideMark/>
          </w:tcPr>
          <w:p w:rsidR="00106222" w:rsidRPr="00106222" w:rsidRDefault="00106222" w:rsidP="00D479B6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106222">
              <w:rPr>
                <w:color w:val="000000"/>
                <w:szCs w:val="22"/>
                <w:lang w:val="ru-RU" w:eastAsia="ru-RU"/>
              </w:rPr>
              <w:t>11</w:t>
            </w:r>
          </w:p>
        </w:tc>
        <w:tc>
          <w:tcPr>
            <w:tcW w:w="7677" w:type="dxa"/>
            <w:hideMark/>
          </w:tcPr>
          <w:p w:rsidR="00106222" w:rsidRPr="001B4FD6" w:rsidRDefault="00106222" w:rsidP="00106222">
            <w:pPr>
              <w:suppressAutoHyphens w:val="0"/>
              <w:jc w:val="both"/>
              <w:rPr>
                <w:b/>
                <w:bCs/>
                <w:szCs w:val="21"/>
                <w:lang w:val="ru-RU" w:eastAsia="ru-RU"/>
              </w:rPr>
            </w:pPr>
            <w:r>
              <w:rPr>
                <w:sz w:val="22"/>
                <w:szCs w:val="20"/>
              </w:rPr>
              <w:t xml:space="preserve">Завершення </w:t>
            </w:r>
            <w:r w:rsidRPr="00106222">
              <w:rPr>
                <w:sz w:val="22"/>
                <w:szCs w:val="20"/>
              </w:rPr>
              <w:t xml:space="preserve">будівництва на </w:t>
            </w:r>
            <w:proofErr w:type="spellStart"/>
            <w:r w:rsidRPr="00106222">
              <w:rPr>
                <w:sz w:val="22"/>
                <w:szCs w:val="20"/>
              </w:rPr>
              <w:t>Свіштовському</w:t>
            </w:r>
            <w:proofErr w:type="spellEnd"/>
            <w:r w:rsidRPr="00106222">
              <w:rPr>
                <w:sz w:val="22"/>
                <w:szCs w:val="20"/>
              </w:rPr>
              <w:t xml:space="preserve"> кладовищі міста Кременчука Меморіального сектору для почесних поховань учасників бойових дій, загиблих в зоні проведення антитерористичної операції на сході України</w:t>
            </w:r>
          </w:p>
        </w:tc>
        <w:tc>
          <w:tcPr>
            <w:tcW w:w="1712" w:type="dxa"/>
            <w:hideMark/>
          </w:tcPr>
          <w:p w:rsidR="00106222" w:rsidRDefault="00FD45DD" w:rsidP="00106222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667,213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7677" w:type="dxa"/>
            <w:hideMark/>
          </w:tcPr>
          <w:p w:rsidR="002B3A0B" w:rsidRPr="001B4FD6" w:rsidRDefault="002B3A0B" w:rsidP="00D479B6">
            <w:pPr>
              <w:suppressAutoHyphens w:val="0"/>
              <w:rPr>
                <w:b/>
                <w:bCs/>
                <w:szCs w:val="21"/>
                <w:lang w:val="ru-RU" w:eastAsia="ru-RU"/>
              </w:rPr>
            </w:pPr>
            <w:proofErr w:type="spellStart"/>
            <w:r w:rsidRPr="001B4FD6">
              <w:rPr>
                <w:b/>
                <w:bCs/>
                <w:szCs w:val="21"/>
                <w:lang w:val="ru-RU" w:eastAsia="ru-RU"/>
              </w:rPr>
              <w:t>Всього</w:t>
            </w:r>
            <w:proofErr w:type="spellEnd"/>
            <w:r w:rsidRPr="001B4FD6">
              <w:rPr>
                <w:b/>
                <w:bCs/>
                <w:szCs w:val="21"/>
                <w:lang w:val="ru-RU" w:eastAsia="ru-RU"/>
              </w:rPr>
              <w:t>:</w:t>
            </w:r>
          </w:p>
        </w:tc>
        <w:tc>
          <w:tcPr>
            <w:tcW w:w="1712" w:type="dxa"/>
            <w:hideMark/>
          </w:tcPr>
          <w:p w:rsidR="002B3A0B" w:rsidRPr="001B4FD6" w:rsidRDefault="00133D3F" w:rsidP="007651C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6593,407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7677" w:type="dxa"/>
            <w:hideMark/>
          </w:tcPr>
          <w:p w:rsidR="002B3A0B" w:rsidRPr="001B4FD6" w:rsidRDefault="002B3A0B" w:rsidP="00D479B6">
            <w:pPr>
              <w:suppressAutoHyphens w:val="0"/>
              <w:rPr>
                <w:b/>
                <w:bCs/>
                <w:szCs w:val="21"/>
                <w:lang w:val="ru-RU" w:eastAsia="ru-RU"/>
              </w:rPr>
            </w:pPr>
            <w:proofErr w:type="spellStart"/>
            <w:r w:rsidRPr="001B4FD6">
              <w:rPr>
                <w:b/>
                <w:bCs/>
                <w:szCs w:val="21"/>
                <w:lang w:val="ru-RU" w:eastAsia="ru-RU"/>
              </w:rPr>
              <w:t>Кошти</w:t>
            </w:r>
            <w:proofErr w:type="spellEnd"/>
            <w:r w:rsidRPr="001B4FD6">
              <w:rPr>
                <w:b/>
                <w:bCs/>
                <w:szCs w:val="21"/>
                <w:lang w:val="ru-RU" w:eastAsia="ru-RU"/>
              </w:rPr>
              <w:t xml:space="preserve"> </w:t>
            </w:r>
            <w:proofErr w:type="spellStart"/>
            <w:r w:rsidRPr="001B4FD6">
              <w:rPr>
                <w:b/>
                <w:bCs/>
                <w:szCs w:val="21"/>
                <w:lang w:val="ru-RU" w:eastAsia="ru-RU"/>
              </w:rPr>
              <w:t>міського</w:t>
            </w:r>
            <w:proofErr w:type="spellEnd"/>
            <w:r w:rsidRPr="001B4FD6">
              <w:rPr>
                <w:b/>
                <w:bCs/>
                <w:szCs w:val="21"/>
                <w:lang w:val="ru-RU" w:eastAsia="ru-RU"/>
              </w:rPr>
              <w:t xml:space="preserve"> бюджету</w:t>
            </w:r>
          </w:p>
        </w:tc>
        <w:tc>
          <w:tcPr>
            <w:tcW w:w="1712" w:type="dxa"/>
            <w:hideMark/>
          </w:tcPr>
          <w:p w:rsidR="002B3A0B" w:rsidRPr="001B4FD6" w:rsidRDefault="00106222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6</w:t>
            </w:r>
            <w:r w:rsidR="00133D3F">
              <w:rPr>
                <w:b/>
                <w:bCs/>
                <w:szCs w:val="21"/>
                <w:lang w:val="ru-RU" w:eastAsia="ru-RU"/>
              </w:rPr>
              <w:t>489,407</w:t>
            </w:r>
          </w:p>
        </w:tc>
      </w:tr>
      <w:tr w:rsidR="002B3A0B" w:rsidRPr="00482645" w:rsidTr="002B3A0B">
        <w:trPr>
          <w:trHeight w:val="297"/>
        </w:trPr>
        <w:tc>
          <w:tcPr>
            <w:tcW w:w="567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7677" w:type="dxa"/>
            <w:hideMark/>
          </w:tcPr>
          <w:p w:rsidR="002B3A0B" w:rsidRPr="001B4FD6" w:rsidRDefault="002B3A0B" w:rsidP="00D479B6">
            <w:pPr>
              <w:suppressAutoHyphens w:val="0"/>
              <w:rPr>
                <w:b/>
                <w:bCs/>
                <w:szCs w:val="21"/>
                <w:lang w:val="ru-RU" w:eastAsia="ru-RU"/>
              </w:rPr>
            </w:pPr>
            <w:proofErr w:type="spellStart"/>
            <w:r w:rsidRPr="001B4FD6">
              <w:rPr>
                <w:b/>
                <w:bCs/>
                <w:szCs w:val="21"/>
                <w:lang w:val="ru-RU" w:eastAsia="ru-RU"/>
              </w:rPr>
              <w:t>Кошти</w:t>
            </w:r>
            <w:proofErr w:type="spellEnd"/>
            <w:r w:rsidRPr="001B4FD6">
              <w:rPr>
                <w:b/>
                <w:bCs/>
                <w:szCs w:val="21"/>
                <w:lang w:val="ru-RU" w:eastAsia="ru-RU"/>
              </w:rPr>
              <w:t xml:space="preserve"> КП СКРП</w:t>
            </w:r>
          </w:p>
        </w:tc>
        <w:tc>
          <w:tcPr>
            <w:tcW w:w="1712" w:type="dxa"/>
            <w:hideMark/>
          </w:tcPr>
          <w:p w:rsidR="002B3A0B" w:rsidRPr="001B4FD6" w:rsidRDefault="002B3A0B" w:rsidP="00D479B6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 xml:space="preserve">  </w:t>
            </w:r>
            <w:r w:rsidRPr="001B4FD6">
              <w:rPr>
                <w:b/>
                <w:bCs/>
                <w:szCs w:val="21"/>
                <w:lang w:val="ru-RU" w:eastAsia="ru-RU"/>
              </w:rPr>
              <w:t>104,000</w:t>
            </w:r>
          </w:p>
        </w:tc>
      </w:tr>
    </w:tbl>
    <w:p w:rsidR="002B3A0B" w:rsidRDefault="002B3A0B" w:rsidP="002B3A0B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</w:p>
    <w:p w:rsidR="00197570" w:rsidRPr="002B3A0B" w:rsidRDefault="002B3A0B" w:rsidP="00106222">
      <w:pPr>
        <w:tabs>
          <w:tab w:val="left" w:pos="7088"/>
          <w:tab w:val="left" w:pos="12049"/>
        </w:tabs>
        <w:jc w:val="center"/>
        <w:rPr>
          <w:lang w:val="ru-RU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СКРП</w:t>
      </w:r>
      <w:r>
        <w:rPr>
          <w:b/>
          <w:sz w:val="28"/>
          <w:szCs w:val="28"/>
        </w:rPr>
        <w:tab/>
        <w:t>О.М.</w:t>
      </w:r>
      <w:proofErr w:type="spellStart"/>
      <w:r>
        <w:rPr>
          <w:b/>
          <w:sz w:val="28"/>
          <w:szCs w:val="28"/>
        </w:rPr>
        <w:t>Прихнич</w:t>
      </w:r>
      <w:proofErr w:type="spellEnd"/>
    </w:p>
    <w:sectPr w:rsidR="00197570" w:rsidRPr="002B3A0B" w:rsidSect="001B4FD6">
      <w:pgSz w:w="11905" w:h="16837"/>
      <w:pgMar w:top="567" w:right="567" w:bottom="958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A0B"/>
    <w:rsid w:val="00106222"/>
    <w:rsid w:val="00133D3F"/>
    <w:rsid w:val="00197570"/>
    <w:rsid w:val="00265EBB"/>
    <w:rsid w:val="002B3A0B"/>
    <w:rsid w:val="0058001D"/>
    <w:rsid w:val="005A0192"/>
    <w:rsid w:val="007651C0"/>
    <w:rsid w:val="007B173E"/>
    <w:rsid w:val="00FD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0B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5B0F-B9C8-4A7B-A424-BC265F29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</cp:revision>
  <cp:lastPrinted>2019-01-31T08:26:00Z</cp:lastPrinted>
  <dcterms:created xsi:type="dcterms:W3CDTF">2019-08-14T12:26:00Z</dcterms:created>
  <dcterms:modified xsi:type="dcterms:W3CDTF">2019-08-14T12:26:00Z</dcterms:modified>
</cp:coreProperties>
</file>