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08" w:rsidRPr="001C2164" w:rsidRDefault="00732E08" w:rsidP="001C2164">
      <w:pPr>
        <w:spacing w:after="0"/>
        <w:ind w:firstLine="6237"/>
        <w:jc w:val="both"/>
        <w:rPr>
          <w:rFonts w:ascii="Times New Roman" w:hAnsi="Times New Roman" w:cs="Times New Roman"/>
          <w:b/>
          <w:bCs/>
          <w:sz w:val="28"/>
          <w:szCs w:val="28"/>
        </w:rPr>
      </w:pPr>
      <w:r w:rsidRPr="001C2164">
        <w:rPr>
          <w:rFonts w:ascii="Times New Roman" w:hAnsi="Times New Roman" w:cs="Times New Roman"/>
          <w:b/>
          <w:bCs/>
          <w:sz w:val="28"/>
          <w:szCs w:val="28"/>
        </w:rPr>
        <w:t xml:space="preserve">Додаток </w:t>
      </w:r>
    </w:p>
    <w:p w:rsidR="00732E08" w:rsidRPr="001C2164" w:rsidRDefault="00732E08" w:rsidP="001C2164">
      <w:pPr>
        <w:spacing w:after="0"/>
        <w:ind w:firstLine="6237"/>
        <w:jc w:val="both"/>
        <w:rPr>
          <w:rFonts w:ascii="Times New Roman" w:hAnsi="Times New Roman" w:cs="Times New Roman"/>
          <w:b/>
          <w:bCs/>
          <w:sz w:val="28"/>
          <w:szCs w:val="28"/>
        </w:rPr>
      </w:pPr>
      <w:r w:rsidRPr="001C2164">
        <w:rPr>
          <w:rFonts w:ascii="Times New Roman" w:hAnsi="Times New Roman" w:cs="Times New Roman"/>
          <w:b/>
          <w:bCs/>
          <w:sz w:val="28"/>
          <w:szCs w:val="28"/>
        </w:rPr>
        <w:t xml:space="preserve">до рішення міської ради </w:t>
      </w:r>
    </w:p>
    <w:p w:rsidR="00732E08" w:rsidRPr="001C2164" w:rsidRDefault="00732E08" w:rsidP="001C2164">
      <w:pPr>
        <w:spacing w:after="0"/>
        <w:ind w:firstLine="6237"/>
        <w:jc w:val="both"/>
        <w:rPr>
          <w:rFonts w:ascii="Times New Roman" w:hAnsi="Times New Roman" w:cs="Times New Roman"/>
          <w:b/>
          <w:bCs/>
          <w:sz w:val="28"/>
          <w:szCs w:val="28"/>
        </w:rPr>
      </w:pPr>
      <w:r w:rsidRPr="001C2164">
        <w:rPr>
          <w:rFonts w:ascii="Times New Roman" w:hAnsi="Times New Roman" w:cs="Times New Roman"/>
          <w:b/>
          <w:bCs/>
          <w:sz w:val="28"/>
          <w:szCs w:val="28"/>
        </w:rPr>
        <w:t>від 11 жовтня 2018 року</w:t>
      </w: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1C2164">
      <w:pPr>
        <w:spacing w:after="0"/>
        <w:jc w:val="center"/>
        <w:rPr>
          <w:rFonts w:ascii="Times New Roman" w:hAnsi="Times New Roman" w:cs="Times New Roman"/>
          <w:b/>
          <w:bCs/>
          <w:sz w:val="44"/>
          <w:szCs w:val="44"/>
        </w:rPr>
      </w:pPr>
      <w:r w:rsidRPr="001C2164">
        <w:rPr>
          <w:rFonts w:ascii="Times New Roman" w:hAnsi="Times New Roman" w:cs="Times New Roman"/>
          <w:b/>
          <w:bCs/>
          <w:sz w:val="44"/>
          <w:szCs w:val="44"/>
        </w:rPr>
        <w:t>ПРОГРАМА</w:t>
      </w:r>
    </w:p>
    <w:p w:rsidR="00732E08" w:rsidRDefault="00732E08" w:rsidP="001C2164">
      <w:pPr>
        <w:spacing w:after="0"/>
        <w:jc w:val="center"/>
        <w:rPr>
          <w:rFonts w:ascii="Times New Roman" w:hAnsi="Times New Roman" w:cs="Times New Roman"/>
          <w:sz w:val="32"/>
          <w:szCs w:val="32"/>
        </w:rPr>
      </w:pPr>
      <w:r w:rsidRPr="001C2164">
        <w:rPr>
          <w:rFonts w:ascii="Times New Roman" w:hAnsi="Times New Roman" w:cs="Times New Roman"/>
          <w:sz w:val="32"/>
          <w:szCs w:val="32"/>
        </w:rPr>
        <w:t>заміни ава</w:t>
      </w:r>
      <w:r>
        <w:rPr>
          <w:rFonts w:ascii="Times New Roman" w:hAnsi="Times New Roman" w:cs="Times New Roman"/>
          <w:sz w:val="32"/>
          <w:szCs w:val="32"/>
        </w:rPr>
        <w:t>рійних ділянок інженерних мереж</w:t>
      </w:r>
    </w:p>
    <w:p w:rsidR="00732E08" w:rsidRPr="001C2164" w:rsidRDefault="00732E08" w:rsidP="001C2164">
      <w:pPr>
        <w:spacing w:after="0"/>
        <w:jc w:val="center"/>
        <w:rPr>
          <w:rFonts w:ascii="Times New Roman" w:hAnsi="Times New Roman" w:cs="Times New Roman"/>
          <w:sz w:val="32"/>
          <w:szCs w:val="32"/>
        </w:rPr>
      </w:pPr>
      <w:r w:rsidRPr="001C2164">
        <w:rPr>
          <w:rFonts w:ascii="Times New Roman" w:hAnsi="Times New Roman" w:cs="Times New Roman"/>
          <w:sz w:val="32"/>
          <w:szCs w:val="32"/>
        </w:rPr>
        <w:t>теплопостачання та гарячого водопостачання</w:t>
      </w:r>
    </w:p>
    <w:p w:rsidR="00732E08" w:rsidRPr="001C2164" w:rsidRDefault="00732E08" w:rsidP="001C2164">
      <w:pPr>
        <w:spacing w:after="0"/>
        <w:jc w:val="center"/>
        <w:rPr>
          <w:rFonts w:ascii="Times New Roman" w:hAnsi="Times New Roman" w:cs="Times New Roman"/>
          <w:sz w:val="32"/>
          <w:szCs w:val="32"/>
        </w:rPr>
      </w:pPr>
      <w:r w:rsidRPr="001C2164">
        <w:rPr>
          <w:rFonts w:ascii="Times New Roman" w:hAnsi="Times New Roman" w:cs="Times New Roman"/>
          <w:sz w:val="32"/>
          <w:szCs w:val="32"/>
        </w:rPr>
        <w:t>КП  «Теплоенерго»</w:t>
      </w:r>
    </w:p>
    <w:p w:rsidR="00732E08" w:rsidRPr="001C2164" w:rsidRDefault="00732E08" w:rsidP="001C2164">
      <w:pPr>
        <w:spacing w:after="0"/>
        <w:jc w:val="center"/>
        <w:rPr>
          <w:rFonts w:ascii="Times New Roman" w:hAnsi="Times New Roman" w:cs="Times New Roman"/>
          <w:sz w:val="32"/>
          <w:szCs w:val="32"/>
        </w:rPr>
      </w:pPr>
      <w:r w:rsidRPr="001C2164">
        <w:rPr>
          <w:rFonts w:ascii="Times New Roman" w:hAnsi="Times New Roman" w:cs="Times New Roman"/>
          <w:sz w:val="32"/>
          <w:szCs w:val="32"/>
        </w:rPr>
        <w:t>на 2019 - 2021 роки</w:t>
      </w:r>
    </w:p>
    <w:p w:rsidR="00732E08" w:rsidRPr="001C2164" w:rsidRDefault="00732E08" w:rsidP="00110A48">
      <w:pPr>
        <w:spacing w:after="0"/>
        <w:ind w:firstLine="708"/>
        <w:jc w:val="center"/>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both"/>
        <w:rPr>
          <w:rFonts w:ascii="Times New Roman" w:hAnsi="Times New Roman" w:cs="Times New Roman"/>
          <w:sz w:val="28"/>
          <w:szCs w:val="28"/>
        </w:rPr>
      </w:pPr>
    </w:p>
    <w:p w:rsidR="00732E08" w:rsidRPr="001C2164" w:rsidRDefault="00732E08" w:rsidP="009545AC">
      <w:pPr>
        <w:spacing w:after="0"/>
        <w:ind w:firstLine="708"/>
        <w:jc w:val="center"/>
        <w:rPr>
          <w:rFonts w:ascii="Times New Roman" w:hAnsi="Times New Roman" w:cs="Times New Roman"/>
          <w:sz w:val="28"/>
          <w:szCs w:val="28"/>
        </w:rPr>
      </w:pPr>
    </w:p>
    <w:p w:rsidR="00732E08" w:rsidRPr="001C2164" w:rsidRDefault="00732E08" w:rsidP="009545AC">
      <w:pPr>
        <w:spacing w:after="0"/>
        <w:ind w:firstLine="708"/>
        <w:jc w:val="center"/>
        <w:rPr>
          <w:rFonts w:ascii="Times New Roman" w:hAnsi="Times New Roman" w:cs="Times New Roman"/>
          <w:sz w:val="28"/>
          <w:szCs w:val="28"/>
        </w:rPr>
      </w:pPr>
    </w:p>
    <w:p w:rsidR="00732E08" w:rsidRPr="001C2164" w:rsidRDefault="00732E08" w:rsidP="009545AC">
      <w:pPr>
        <w:spacing w:after="0"/>
        <w:ind w:firstLine="708"/>
        <w:jc w:val="center"/>
        <w:rPr>
          <w:rFonts w:ascii="Times New Roman" w:hAnsi="Times New Roman" w:cs="Times New Roman"/>
          <w:sz w:val="28"/>
          <w:szCs w:val="28"/>
        </w:rPr>
      </w:pPr>
    </w:p>
    <w:p w:rsidR="00732E08" w:rsidRPr="001C2164" w:rsidRDefault="00732E08" w:rsidP="009545AC">
      <w:pPr>
        <w:spacing w:after="0"/>
        <w:ind w:firstLine="708"/>
        <w:jc w:val="center"/>
        <w:rPr>
          <w:rFonts w:ascii="Times New Roman" w:hAnsi="Times New Roman" w:cs="Times New Roman"/>
          <w:sz w:val="28"/>
          <w:szCs w:val="28"/>
        </w:rPr>
      </w:pPr>
    </w:p>
    <w:p w:rsidR="00732E08" w:rsidRPr="001C2164" w:rsidRDefault="00732E08" w:rsidP="009545AC">
      <w:pPr>
        <w:spacing w:after="0"/>
        <w:ind w:firstLine="708"/>
        <w:jc w:val="center"/>
        <w:rPr>
          <w:rFonts w:ascii="Times New Roman" w:hAnsi="Times New Roman" w:cs="Times New Roman"/>
          <w:sz w:val="28"/>
          <w:szCs w:val="28"/>
        </w:rPr>
      </w:pPr>
    </w:p>
    <w:p w:rsidR="00732E08" w:rsidRPr="001C2164" w:rsidRDefault="00732E08" w:rsidP="001C2164">
      <w:pPr>
        <w:spacing w:after="0"/>
        <w:jc w:val="center"/>
        <w:rPr>
          <w:rFonts w:ascii="Times New Roman" w:hAnsi="Times New Roman" w:cs="Times New Roman"/>
          <w:sz w:val="28"/>
          <w:szCs w:val="28"/>
        </w:rPr>
      </w:pPr>
      <w:r w:rsidRPr="001C2164">
        <w:rPr>
          <w:rFonts w:ascii="Times New Roman" w:hAnsi="Times New Roman" w:cs="Times New Roman"/>
          <w:sz w:val="28"/>
          <w:szCs w:val="28"/>
        </w:rPr>
        <w:t>м. Кременчук</w:t>
      </w:r>
    </w:p>
    <w:p w:rsidR="00732E08" w:rsidRPr="001C2164" w:rsidRDefault="00732E08" w:rsidP="009545AC">
      <w:pPr>
        <w:suppressAutoHyphens/>
        <w:spacing w:after="0" w:line="240" w:lineRule="auto"/>
        <w:jc w:val="center"/>
        <w:rPr>
          <w:rFonts w:ascii="Times New Roman" w:hAnsi="Times New Roman" w:cs="Times New Roman"/>
          <w:b/>
          <w:bCs/>
          <w:sz w:val="28"/>
          <w:szCs w:val="28"/>
          <w:lang w:eastAsia="ru-RU"/>
        </w:rPr>
      </w:pPr>
      <w:r w:rsidRPr="001C2164">
        <w:rPr>
          <w:rFonts w:ascii="Times New Roman" w:hAnsi="Times New Roman" w:cs="Times New Roman"/>
          <w:b/>
          <w:bCs/>
          <w:sz w:val="28"/>
          <w:szCs w:val="28"/>
          <w:lang w:eastAsia="ru-RU"/>
        </w:rPr>
        <w:t>ПАСПОРТ</w:t>
      </w:r>
    </w:p>
    <w:p w:rsidR="00732E08" w:rsidRPr="001C2164" w:rsidRDefault="00732E08" w:rsidP="000B6EB2">
      <w:pPr>
        <w:suppressAutoHyphens/>
        <w:spacing w:after="0" w:line="240" w:lineRule="auto"/>
        <w:jc w:val="center"/>
        <w:rPr>
          <w:rFonts w:ascii="Times New Roman" w:hAnsi="Times New Roman" w:cs="Times New Roman"/>
          <w:sz w:val="20"/>
          <w:szCs w:val="20"/>
          <w:lang w:eastAsia="ru-RU"/>
        </w:rPr>
      </w:pPr>
      <w:r w:rsidRPr="001C2164">
        <w:rPr>
          <w:rFonts w:ascii="Times New Roman" w:hAnsi="Times New Roman" w:cs="Times New Roman"/>
          <w:sz w:val="20"/>
          <w:szCs w:val="20"/>
          <w:lang w:eastAsia="ru-RU"/>
        </w:rPr>
        <w:t xml:space="preserve"> </w:t>
      </w:r>
      <w:r w:rsidRPr="001C2164">
        <w:rPr>
          <w:rFonts w:ascii="Times New Roman" w:hAnsi="Times New Roman" w:cs="Times New Roman"/>
          <w:b/>
          <w:bCs/>
          <w:color w:val="000000"/>
          <w:sz w:val="28"/>
          <w:szCs w:val="28"/>
          <w:lang w:eastAsia="ru-RU"/>
        </w:rPr>
        <w:t>заміни аварійних ділянок інженерних мереж</w:t>
      </w:r>
      <w:r>
        <w:rPr>
          <w:rFonts w:ascii="Times New Roman" w:hAnsi="Times New Roman" w:cs="Times New Roman"/>
          <w:b/>
          <w:bCs/>
          <w:color w:val="000000"/>
          <w:sz w:val="28"/>
          <w:szCs w:val="28"/>
          <w:lang w:eastAsia="ru-RU"/>
        </w:rPr>
        <w:t xml:space="preserve"> </w:t>
      </w:r>
      <w:r w:rsidRPr="001C2164">
        <w:rPr>
          <w:rFonts w:ascii="Times New Roman" w:hAnsi="Times New Roman" w:cs="Times New Roman"/>
          <w:b/>
          <w:bCs/>
          <w:color w:val="000000"/>
          <w:sz w:val="28"/>
          <w:szCs w:val="28"/>
          <w:lang w:eastAsia="ru-RU"/>
        </w:rPr>
        <w:t>теплопостачання та гарячого водопостачання</w:t>
      </w:r>
      <w:r>
        <w:rPr>
          <w:rFonts w:ascii="Times New Roman" w:hAnsi="Times New Roman" w:cs="Times New Roman"/>
          <w:b/>
          <w:bCs/>
          <w:color w:val="000000"/>
          <w:sz w:val="28"/>
          <w:szCs w:val="28"/>
          <w:lang w:eastAsia="ru-RU"/>
        </w:rPr>
        <w:t xml:space="preserve"> </w:t>
      </w:r>
      <w:r w:rsidRPr="001C2164">
        <w:rPr>
          <w:rFonts w:ascii="Times New Roman" w:hAnsi="Times New Roman" w:cs="Times New Roman"/>
          <w:b/>
          <w:bCs/>
          <w:color w:val="000000"/>
          <w:sz w:val="28"/>
          <w:szCs w:val="28"/>
          <w:lang w:eastAsia="ru-RU"/>
        </w:rPr>
        <w:t>КП  «Теплоенерго» на 2019 - 2021 роки</w:t>
      </w:r>
    </w:p>
    <w:tbl>
      <w:tblPr>
        <w:tblW w:w="0" w:type="auto"/>
        <w:tblInd w:w="2" w:type="dxa"/>
        <w:tblCellMar>
          <w:left w:w="0" w:type="dxa"/>
          <w:right w:w="0" w:type="dxa"/>
        </w:tblCellMar>
        <w:tblLook w:val="00A0"/>
      </w:tblPr>
      <w:tblGrid>
        <w:gridCol w:w="761"/>
        <w:gridCol w:w="4257"/>
        <w:gridCol w:w="4728"/>
      </w:tblGrid>
      <w:tr w:rsidR="00732E08" w:rsidRPr="00BF3EF0">
        <w:trPr>
          <w:trHeight w:val="20"/>
        </w:trPr>
        <w:tc>
          <w:tcPr>
            <w:tcW w:w="761" w:type="dxa"/>
            <w:tcBorders>
              <w:top w:val="single" w:sz="8" w:space="0" w:color="000000"/>
              <w:left w:val="single" w:sz="8" w:space="0" w:color="000000"/>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jc w:val="center"/>
              <w:rPr>
                <w:rFonts w:ascii="Times New Roman" w:hAnsi="Times New Roman" w:cs="Times New Roman"/>
                <w:sz w:val="27"/>
                <w:szCs w:val="27"/>
                <w:lang w:eastAsia="ru-RU"/>
              </w:rPr>
            </w:pPr>
            <w:r w:rsidRPr="001C2164">
              <w:rPr>
                <w:rFonts w:ascii="Times New Roman" w:hAnsi="Times New Roman" w:cs="Times New Roman"/>
                <w:sz w:val="27"/>
                <w:szCs w:val="27"/>
                <w:lang w:eastAsia="ru-RU"/>
              </w:rPr>
              <w:t>1.</w:t>
            </w:r>
          </w:p>
        </w:tc>
        <w:tc>
          <w:tcPr>
            <w:tcW w:w="4258" w:type="dxa"/>
            <w:tcBorders>
              <w:top w:val="single" w:sz="8" w:space="0" w:color="000000"/>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Назва програми</w:t>
            </w:r>
          </w:p>
        </w:tc>
        <w:tc>
          <w:tcPr>
            <w:tcW w:w="4731" w:type="dxa"/>
            <w:tcBorders>
              <w:top w:val="single" w:sz="8" w:space="0" w:color="000000"/>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ar-SA"/>
              </w:rPr>
            </w:pPr>
            <w:r w:rsidRPr="001C2164">
              <w:rPr>
                <w:rFonts w:ascii="Times New Roman" w:hAnsi="Times New Roman" w:cs="Times New Roman"/>
                <w:sz w:val="27"/>
                <w:szCs w:val="27"/>
                <w:lang w:eastAsia="ar-SA"/>
              </w:rPr>
              <w:t>Заміна аварійних ділянок інженерних мереж теплопостачання та гарячого водопостачання КП «Теплоенерго»</w:t>
            </w:r>
          </w:p>
          <w:p w:rsidR="00732E08" w:rsidRPr="001C2164" w:rsidRDefault="00732E08" w:rsidP="001C2164">
            <w:pPr>
              <w:suppressAutoHyphens/>
              <w:spacing w:after="0" w:line="240" w:lineRule="auto"/>
              <w:rPr>
                <w:color w:val="000000"/>
                <w:sz w:val="27"/>
                <w:szCs w:val="27"/>
                <w:lang w:eastAsia="ru-RU"/>
              </w:rPr>
            </w:pPr>
            <w:r w:rsidRPr="001C2164">
              <w:rPr>
                <w:rFonts w:ascii="Times New Roman" w:hAnsi="Times New Roman" w:cs="Times New Roman"/>
                <w:sz w:val="27"/>
                <w:szCs w:val="27"/>
                <w:lang w:eastAsia="ar-SA"/>
              </w:rPr>
              <w:t>на 2019 - 2021 роки</w:t>
            </w:r>
          </w:p>
        </w:tc>
      </w:tr>
      <w:tr w:rsidR="00732E08" w:rsidRPr="00BF3EF0">
        <w:trPr>
          <w:trHeight w:val="20"/>
        </w:trPr>
        <w:tc>
          <w:tcPr>
            <w:tcW w:w="761" w:type="dxa"/>
            <w:tcBorders>
              <w:top w:val="single" w:sz="8" w:space="0" w:color="000000"/>
              <w:left w:val="single" w:sz="8" w:space="0" w:color="000000"/>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jc w:val="center"/>
              <w:rPr>
                <w:rFonts w:ascii="Times New Roman" w:hAnsi="Times New Roman" w:cs="Times New Roman"/>
                <w:sz w:val="27"/>
                <w:szCs w:val="27"/>
                <w:lang w:eastAsia="ru-RU"/>
              </w:rPr>
            </w:pPr>
            <w:r w:rsidRPr="001C2164">
              <w:rPr>
                <w:rFonts w:ascii="Times New Roman" w:hAnsi="Times New Roman" w:cs="Times New Roman"/>
                <w:sz w:val="27"/>
                <w:szCs w:val="27"/>
                <w:lang w:eastAsia="ru-RU"/>
              </w:rPr>
              <w:t>2</w:t>
            </w:r>
          </w:p>
          <w:p w:rsidR="00732E08" w:rsidRPr="001C2164" w:rsidRDefault="00732E08" w:rsidP="001C2164">
            <w:pPr>
              <w:suppressAutoHyphens/>
              <w:jc w:val="center"/>
              <w:rPr>
                <w:rFonts w:ascii="Times New Roman" w:hAnsi="Times New Roman" w:cs="Times New Roman"/>
                <w:sz w:val="27"/>
                <w:szCs w:val="27"/>
                <w:lang w:eastAsia="ru-RU"/>
              </w:rPr>
            </w:pPr>
          </w:p>
        </w:tc>
        <w:tc>
          <w:tcPr>
            <w:tcW w:w="4258" w:type="dxa"/>
            <w:tcBorders>
              <w:top w:val="single" w:sz="8" w:space="0" w:color="000000"/>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Ініціатор розроблення програми</w:t>
            </w:r>
          </w:p>
        </w:tc>
        <w:tc>
          <w:tcPr>
            <w:tcW w:w="4731" w:type="dxa"/>
            <w:tcBorders>
              <w:top w:val="single" w:sz="8" w:space="0" w:color="000000"/>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Департамент житлово-комунального господарства виконавчого комітету Кременчуцької міської ради</w:t>
            </w:r>
          </w:p>
        </w:tc>
      </w:tr>
      <w:tr w:rsidR="00732E08" w:rsidRPr="00BF3EF0">
        <w:trPr>
          <w:trHeight w:val="20"/>
        </w:trPr>
        <w:tc>
          <w:tcPr>
            <w:tcW w:w="761" w:type="dxa"/>
            <w:tcBorders>
              <w:top w:val="nil"/>
              <w:left w:val="single" w:sz="8" w:space="0" w:color="000000"/>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jc w:val="center"/>
              <w:rPr>
                <w:rFonts w:ascii="Times New Roman" w:hAnsi="Times New Roman" w:cs="Times New Roman"/>
                <w:sz w:val="27"/>
                <w:szCs w:val="27"/>
                <w:lang w:eastAsia="ru-RU"/>
              </w:rPr>
            </w:pPr>
            <w:r w:rsidRPr="001C2164">
              <w:rPr>
                <w:rFonts w:ascii="Times New Roman" w:hAnsi="Times New Roman" w:cs="Times New Roman"/>
                <w:sz w:val="27"/>
                <w:szCs w:val="27"/>
                <w:lang w:eastAsia="ru-RU"/>
              </w:rPr>
              <w:t>3.</w:t>
            </w:r>
          </w:p>
        </w:tc>
        <w:tc>
          <w:tcPr>
            <w:tcW w:w="4258" w:type="dxa"/>
            <w:tcBorders>
              <w:top w:val="nil"/>
              <w:left w:val="nil"/>
              <w:bottom w:val="single" w:sz="8" w:space="0" w:color="000000"/>
              <w:right w:val="single" w:sz="8" w:space="0" w:color="000000"/>
            </w:tcBorders>
            <w:tcMar>
              <w:top w:w="0" w:type="dxa"/>
              <w:left w:w="113" w:type="dxa"/>
              <w:bottom w:w="0" w:type="dxa"/>
              <w:right w:w="108" w:type="dxa"/>
            </w:tcMar>
          </w:tcPr>
          <w:p w:rsidR="00732E08" w:rsidRPr="001C2164" w:rsidRDefault="00732E08" w:rsidP="009545AC">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Розробник програми</w:t>
            </w:r>
          </w:p>
          <w:p w:rsidR="00732E08" w:rsidRPr="001C2164" w:rsidRDefault="00732E08" w:rsidP="009545AC">
            <w:pPr>
              <w:suppressAutoHyphens/>
              <w:spacing w:after="0" w:line="240" w:lineRule="auto"/>
              <w:rPr>
                <w:rFonts w:ascii="Times New Roman" w:hAnsi="Times New Roman" w:cs="Times New Roman"/>
                <w:sz w:val="27"/>
                <w:szCs w:val="27"/>
                <w:lang w:eastAsia="ru-RU"/>
              </w:rPr>
            </w:pPr>
          </w:p>
          <w:p w:rsidR="00732E08" w:rsidRPr="001C2164" w:rsidRDefault="00732E08" w:rsidP="009545AC">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Співрозробник програми</w:t>
            </w:r>
          </w:p>
        </w:tc>
        <w:tc>
          <w:tcPr>
            <w:tcW w:w="4731" w:type="dxa"/>
            <w:tcBorders>
              <w:top w:val="nil"/>
              <w:left w:val="nil"/>
              <w:bottom w:val="single" w:sz="8" w:space="0" w:color="000000"/>
              <w:right w:val="single" w:sz="8" w:space="0" w:color="000000"/>
            </w:tcBorders>
            <w:tcMar>
              <w:top w:w="0" w:type="dxa"/>
              <w:left w:w="113" w:type="dxa"/>
              <w:bottom w:w="0" w:type="dxa"/>
              <w:right w:w="108" w:type="dxa"/>
            </w:tcMar>
          </w:tcPr>
          <w:p w:rsidR="00732E08" w:rsidRPr="001C2164" w:rsidRDefault="00732E08" w:rsidP="009545AC">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 xml:space="preserve">КП «Теплоенерго» </w:t>
            </w:r>
          </w:p>
          <w:p w:rsidR="00732E08" w:rsidRPr="001C2164" w:rsidRDefault="00732E08" w:rsidP="009545AC">
            <w:pPr>
              <w:suppressAutoHyphens/>
              <w:spacing w:after="0" w:line="240" w:lineRule="auto"/>
              <w:rPr>
                <w:rFonts w:ascii="Times New Roman" w:hAnsi="Times New Roman" w:cs="Times New Roman"/>
                <w:sz w:val="27"/>
                <w:szCs w:val="27"/>
                <w:lang w:eastAsia="ru-RU"/>
              </w:rPr>
            </w:pPr>
          </w:p>
          <w:p w:rsidR="00732E08" w:rsidRPr="001C2164" w:rsidRDefault="00732E08" w:rsidP="009545AC">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Департамент житлово-комунального господарства виконавчого комітету Кременчуцької міської ради</w:t>
            </w:r>
          </w:p>
        </w:tc>
      </w:tr>
      <w:tr w:rsidR="00732E08" w:rsidRPr="00BF3EF0">
        <w:trPr>
          <w:trHeight w:val="20"/>
        </w:trPr>
        <w:tc>
          <w:tcPr>
            <w:tcW w:w="761" w:type="dxa"/>
            <w:tcBorders>
              <w:top w:val="nil"/>
              <w:left w:val="single" w:sz="8" w:space="0" w:color="000000"/>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jc w:val="center"/>
              <w:rPr>
                <w:rFonts w:ascii="Times New Roman" w:hAnsi="Times New Roman" w:cs="Times New Roman"/>
                <w:sz w:val="27"/>
                <w:szCs w:val="27"/>
                <w:lang w:eastAsia="ru-RU"/>
              </w:rPr>
            </w:pPr>
            <w:r w:rsidRPr="001C2164">
              <w:rPr>
                <w:rFonts w:ascii="Times New Roman" w:hAnsi="Times New Roman" w:cs="Times New Roman"/>
                <w:sz w:val="27"/>
                <w:szCs w:val="27"/>
                <w:lang w:eastAsia="ru-RU"/>
              </w:rPr>
              <w:t>4.</w:t>
            </w:r>
          </w:p>
        </w:tc>
        <w:tc>
          <w:tcPr>
            <w:tcW w:w="4258"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Відповідальні виконавці програми</w:t>
            </w:r>
          </w:p>
        </w:tc>
        <w:tc>
          <w:tcPr>
            <w:tcW w:w="4731"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 xml:space="preserve"> КП «Теплоенерго»,</w:t>
            </w:r>
          </w:p>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Департамент житлово-комунального господарства виконавчого комітету Кременчуцької міської ради</w:t>
            </w:r>
          </w:p>
        </w:tc>
      </w:tr>
      <w:tr w:rsidR="00732E08" w:rsidRPr="00BF3EF0">
        <w:trPr>
          <w:trHeight w:val="20"/>
        </w:trPr>
        <w:tc>
          <w:tcPr>
            <w:tcW w:w="761" w:type="dxa"/>
            <w:tcBorders>
              <w:top w:val="nil"/>
              <w:left w:val="single" w:sz="8" w:space="0" w:color="000000"/>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jc w:val="center"/>
              <w:rPr>
                <w:rFonts w:ascii="Times New Roman" w:hAnsi="Times New Roman" w:cs="Times New Roman"/>
                <w:sz w:val="27"/>
                <w:szCs w:val="27"/>
                <w:lang w:eastAsia="ru-RU"/>
              </w:rPr>
            </w:pPr>
            <w:r w:rsidRPr="001C2164">
              <w:rPr>
                <w:rFonts w:ascii="Times New Roman" w:hAnsi="Times New Roman" w:cs="Times New Roman"/>
                <w:sz w:val="27"/>
                <w:szCs w:val="27"/>
                <w:lang w:eastAsia="ru-RU"/>
              </w:rPr>
              <w:t>5.</w:t>
            </w:r>
          </w:p>
        </w:tc>
        <w:tc>
          <w:tcPr>
            <w:tcW w:w="4258"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Головний розпорядник бюджетних коштів</w:t>
            </w:r>
          </w:p>
        </w:tc>
        <w:tc>
          <w:tcPr>
            <w:tcW w:w="4731"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Департамент житлово-комунального господарства виконавчого комітету Кременчуцької міської ради</w:t>
            </w:r>
          </w:p>
        </w:tc>
      </w:tr>
      <w:tr w:rsidR="00732E08" w:rsidRPr="00BF3EF0">
        <w:trPr>
          <w:trHeight w:val="20"/>
        </w:trPr>
        <w:tc>
          <w:tcPr>
            <w:tcW w:w="761" w:type="dxa"/>
            <w:tcBorders>
              <w:top w:val="nil"/>
              <w:left w:val="single" w:sz="8" w:space="0" w:color="000000"/>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jc w:val="center"/>
              <w:rPr>
                <w:rFonts w:ascii="Times New Roman" w:hAnsi="Times New Roman" w:cs="Times New Roman"/>
                <w:sz w:val="27"/>
                <w:szCs w:val="27"/>
                <w:lang w:eastAsia="ru-RU"/>
              </w:rPr>
            </w:pPr>
            <w:r w:rsidRPr="001C2164">
              <w:rPr>
                <w:rFonts w:ascii="Times New Roman" w:hAnsi="Times New Roman" w:cs="Times New Roman"/>
                <w:sz w:val="27"/>
                <w:szCs w:val="27"/>
                <w:lang w:eastAsia="ru-RU"/>
              </w:rPr>
              <w:t>6.</w:t>
            </w:r>
          </w:p>
        </w:tc>
        <w:tc>
          <w:tcPr>
            <w:tcW w:w="4258"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Одержувач бюджетних коштів</w:t>
            </w:r>
          </w:p>
        </w:tc>
        <w:tc>
          <w:tcPr>
            <w:tcW w:w="4731"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КП «Теплоенерго»</w:t>
            </w:r>
          </w:p>
        </w:tc>
      </w:tr>
      <w:tr w:rsidR="00732E08" w:rsidRPr="00BF3EF0">
        <w:trPr>
          <w:trHeight w:val="263"/>
        </w:trPr>
        <w:tc>
          <w:tcPr>
            <w:tcW w:w="761" w:type="dxa"/>
            <w:tcBorders>
              <w:top w:val="nil"/>
              <w:left w:val="single" w:sz="8" w:space="0" w:color="000000"/>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jc w:val="center"/>
              <w:rPr>
                <w:rFonts w:ascii="Times New Roman" w:hAnsi="Times New Roman" w:cs="Times New Roman"/>
                <w:sz w:val="27"/>
                <w:szCs w:val="27"/>
                <w:lang w:eastAsia="ru-RU"/>
              </w:rPr>
            </w:pPr>
            <w:r w:rsidRPr="001C2164">
              <w:rPr>
                <w:rFonts w:ascii="Times New Roman" w:hAnsi="Times New Roman" w:cs="Times New Roman"/>
                <w:sz w:val="27"/>
                <w:szCs w:val="27"/>
                <w:lang w:eastAsia="ru-RU"/>
              </w:rPr>
              <w:t>7.</w:t>
            </w:r>
          </w:p>
        </w:tc>
        <w:tc>
          <w:tcPr>
            <w:tcW w:w="4258"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Учасники програми</w:t>
            </w:r>
          </w:p>
        </w:tc>
        <w:tc>
          <w:tcPr>
            <w:tcW w:w="4731"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 xml:space="preserve">Департамент житлово-комунального господарства виконавчого комітету Кременчуцької міської ради, </w:t>
            </w:r>
          </w:p>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КП «Теплоенерго»</w:t>
            </w:r>
          </w:p>
        </w:tc>
      </w:tr>
      <w:tr w:rsidR="00732E08" w:rsidRPr="00BF3EF0">
        <w:trPr>
          <w:trHeight w:val="20"/>
        </w:trPr>
        <w:tc>
          <w:tcPr>
            <w:tcW w:w="761" w:type="dxa"/>
            <w:tcBorders>
              <w:top w:val="nil"/>
              <w:left w:val="single" w:sz="8" w:space="0" w:color="000000"/>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jc w:val="center"/>
              <w:rPr>
                <w:rFonts w:ascii="Times New Roman" w:hAnsi="Times New Roman" w:cs="Times New Roman"/>
                <w:sz w:val="27"/>
                <w:szCs w:val="27"/>
                <w:lang w:eastAsia="ru-RU"/>
              </w:rPr>
            </w:pPr>
            <w:r w:rsidRPr="001C2164">
              <w:rPr>
                <w:rFonts w:ascii="Times New Roman" w:hAnsi="Times New Roman" w:cs="Times New Roman"/>
                <w:sz w:val="27"/>
                <w:szCs w:val="27"/>
                <w:lang w:eastAsia="ru-RU"/>
              </w:rPr>
              <w:t>8.</w:t>
            </w:r>
          </w:p>
        </w:tc>
        <w:tc>
          <w:tcPr>
            <w:tcW w:w="4258"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Термін реалізації програми</w:t>
            </w:r>
          </w:p>
        </w:tc>
        <w:tc>
          <w:tcPr>
            <w:tcW w:w="4731"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rPr>
                <w:rFonts w:ascii="Times New Roman" w:hAnsi="Times New Roman" w:cs="Times New Roman"/>
                <w:sz w:val="27"/>
                <w:szCs w:val="27"/>
                <w:lang w:eastAsia="ru-RU"/>
              </w:rPr>
            </w:pPr>
            <w:r w:rsidRPr="001C2164">
              <w:rPr>
                <w:rFonts w:ascii="Times New Roman" w:hAnsi="Times New Roman" w:cs="Times New Roman"/>
                <w:sz w:val="27"/>
                <w:szCs w:val="27"/>
                <w:lang w:eastAsia="ru-RU"/>
              </w:rPr>
              <w:t>2019 - 2021 роки</w:t>
            </w:r>
          </w:p>
        </w:tc>
      </w:tr>
      <w:tr w:rsidR="00732E08" w:rsidRPr="00BF3EF0">
        <w:trPr>
          <w:trHeight w:val="20"/>
        </w:trPr>
        <w:tc>
          <w:tcPr>
            <w:tcW w:w="761" w:type="dxa"/>
            <w:tcBorders>
              <w:top w:val="nil"/>
              <w:left w:val="single" w:sz="8" w:space="0" w:color="000000"/>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jc w:val="center"/>
              <w:rPr>
                <w:rFonts w:ascii="Times New Roman" w:hAnsi="Times New Roman" w:cs="Times New Roman"/>
                <w:sz w:val="27"/>
                <w:szCs w:val="27"/>
                <w:lang w:eastAsia="ru-RU"/>
              </w:rPr>
            </w:pPr>
            <w:r w:rsidRPr="001C2164">
              <w:rPr>
                <w:rFonts w:ascii="Times New Roman" w:hAnsi="Times New Roman" w:cs="Times New Roman"/>
                <w:sz w:val="27"/>
                <w:szCs w:val="27"/>
                <w:lang w:eastAsia="ru-RU"/>
              </w:rPr>
              <w:t>9.</w:t>
            </w:r>
          </w:p>
        </w:tc>
        <w:tc>
          <w:tcPr>
            <w:tcW w:w="4258"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Перелік бюджетів, які беруть участь у виконанні програми</w:t>
            </w:r>
          </w:p>
        </w:tc>
        <w:tc>
          <w:tcPr>
            <w:tcW w:w="4731"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rPr>
                <w:rFonts w:ascii="Times New Roman" w:hAnsi="Times New Roman" w:cs="Times New Roman"/>
                <w:sz w:val="27"/>
                <w:szCs w:val="27"/>
                <w:lang w:eastAsia="ru-RU"/>
              </w:rPr>
            </w:pPr>
            <w:r w:rsidRPr="001C2164">
              <w:rPr>
                <w:rFonts w:ascii="Times New Roman" w:hAnsi="Times New Roman" w:cs="Times New Roman"/>
                <w:sz w:val="27"/>
                <w:szCs w:val="27"/>
                <w:lang w:eastAsia="ru-RU"/>
              </w:rPr>
              <w:t>Місцевий бюджет</w:t>
            </w:r>
          </w:p>
        </w:tc>
      </w:tr>
      <w:tr w:rsidR="00732E08" w:rsidRPr="00BF3EF0">
        <w:trPr>
          <w:trHeight w:val="20"/>
        </w:trPr>
        <w:tc>
          <w:tcPr>
            <w:tcW w:w="761" w:type="dxa"/>
            <w:tcBorders>
              <w:top w:val="nil"/>
              <w:left w:val="single" w:sz="8" w:space="0" w:color="000000"/>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jc w:val="center"/>
              <w:rPr>
                <w:rFonts w:ascii="Times New Roman" w:hAnsi="Times New Roman" w:cs="Times New Roman"/>
                <w:sz w:val="27"/>
                <w:szCs w:val="27"/>
                <w:lang w:eastAsia="ru-RU"/>
              </w:rPr>
            </w:pPr>
            <w:r w:rsidRPr="001C2164">
              <w:rPr>
                <w:rFonts w:ascii="Times New Roman" w:hAnsi="Times New Roman" w:cs="Times New Roman"/>
                <w:sz w:val="27"/>
                <w:szCs w:val="27"/>
                <w:lang w:eastAsia="ru-RU"/>
              </w:rPr>
              <w:t>10.</w:t>
            </w:r>
          </w:p>
        </w:tc>
        <w:tc>
          <w:tcPr>
            <w:tcW w:w="4258"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spacing w:after="0" w:line="240" w:lineRule="auto"/>
              <w:rPr>
                <w:rFonts w:ascii="Times New Roman" w:hAnsi="Times New Roman" w:cs="Times New Roman"/>
                <w:sz w:val="27"/>
                <w:szCs w:val="27"/>
                <w:lang w:eastAsia="ru-RU"/>
              </w:rPr>
            </w:pPr>
            <w:r w:rsidRPr="001C2164">
              <w:rPr>
                <w:rFonts w:ascii="Times New Roman" w:hAnsi="Times New Roman" w:cs="Times New Roman"/>
                <w:sz w:val="27"/>
                <w:szCs w:val="27"/>
                <w:lang w:eastAsia="ru-RU"/>
              </w:rPr>
              <w:t xml:space="preserve">Загальний обсяг фінансових ресурсів, необхідних для реалізації програми, всього </w:t>
            </w:r>
          </w:p>
        </w:tc>
        <w:tc>
          <w:tcPr>
            <w:tcW w:w="4731"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rPr>
                <w:rFonts w:ascii="Times New Roman" w:hAnsi="Times New Roman" w:cs="Times New Roman"/>
                <w:sz w:val="28"/>
                <w:szCs w:val="28"/>
                <w:lang w:eastAsia="ru-RU"/>
              </w:rPr>
            </w:pPr>
            <w:r w:rsidRPr="001C2164">
              <w:rPr>
                <w:rFonts w:ascii="Times New Roman" w:hAnsi="Times New Roman" w:cs="Times New Roman"/>
                <w:sz w:val="28"/>
                <w:szCs w:val="28"/>
                <w:lang w:eastAsia="ar-SA"/>
              </w:rPr>
              <w:t xml:space="preserve">47078,71  </w:t>
            </w:r>
            <w:r w:rsidRPr="001C2164">
              <w:rPr>
                <w:rFonts w:ascii="Times New Roman" w:hAnsi="Times New Roman" w:cs="Times New Roman"/>
                <w:sz w:val="28"/>
                <w:szCs w:val="28"/>
                <w:lang w:eastAsia="ru-RU"/>
              </w:rPr>
              <w:t>тис. грн.*</w:t>
            </w:r>
          </w:p>
        </w:tc>
      </w:tr>
      <w:tr w:rsidR="00732E08" w:rsidRPr="00BF3EF0" w:rsidTr="00B5080E">
        <w:trPr>
          <w:trHeight w:val="1838"/>
        </w:trPr>
        <w:tc>
          <w:tcPr>
            <w:tcW w:w="761" w:type="dxa"/>
            <w:tcBorders>
              <w:top w:val="nil"/>
              <w:left w:val="single" w:sz="8" w:space="0" w:color="000000"/>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jc w:val="center"/>
              <w:rPr>
                <w:rFonts w:ascii="Times New Roman" w:hAnsi="Times New Roman" w:cs="Times New Roman"/>
                <w:sz w:val="27"/>
                <w:szCs w:val="27"/>
                <w:lang w:eastAsia="ru-RU"/>
              </w:rPr>
            </w:pPr>
            <w:r w:rsidRPr="001C2164">
              <w:rPr>
                <w:rFonts w:ascii="Times New Roman" w:hAnsi="Times New Roman" w:cs="Times New Roman"/>
                <w:sz w:val="27"/>
                <w:szCs w:val="27"/>
                <w:lang w:eastAsia="ru-RU"/>
              </w:rPr>
              <w:t>10.1.</w:t>
            </w:r>
          </w:p>
        </w:tc>
        <w:tc>
          <w:tcPr>
            <w:tcW w:w="4258"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rPr>
                <w:rFonts w:ascii="Times New Roman" w:hAnsi="Times New Roman" w:cs="Times New Roman"/>
                <w:sz w:val="27"/>
                <w:szCs w:val="27"/>
                <w:lang w:eastAsia="ru-RU"/>
              </w:rPr>
            </w:pPr>
            <w:r w:rsidRPr="001C2164">
              <w:rPr>
                <w:rFonts w:ascii="Times New Roman" w:hAnsi="Times New Roman" w:cs="Times New Roman"/>
                <w:sz w:val="27"/>
                <w:szCs w:val="27"/>
                <w:lang w:eastAsia="ru-RU"/>
              </w:rPr>
              <w:t xml:space="preserve">Коштів </w:t>
            </w:r>
            <w:r>
              <w:rPr>
                <w:rFonts w:ascii="Times New Roman" w:hAnsi="Times New Roman" w:cs="Times New Roman"/>
                <w:sz w:val="27"/>
                <w:szCs w:val="27"/>
                <w:lang w:eastAsia="ru-RU"/>
              </w:rPr>
              <w:t xml:space="preserve">державного, обласного, </w:t>
            </w:r>
            <w:r w:rsidRPr="001C2164">
              <w:rPr>
                <w:rFonts w:ascii="Times New Roman" w:hAnsi="Times New Roman" w:cs="Times New Roman"/>
                <w:sz w:val="27"/>
                <w:szCs w:val="27"/>
                <w:lang w:eastAsia="ru-RU"/>
              </w:rPr>
              <w:t>міського бюджету</w:t>
            </w:r>
            <w:r>
              <w:rPr>
                <w:rFonts w:ascii="Times New Roman" w:hAnsi="Times New Roman" w:cs="Times New Roman"/>
                <w:sz w:val="27"/>
                <w:szCs w:val="27"/>
                <w:lang w:eastAsia="ru-RU"/>
              </w:rPr>
              <w:t>, за рахунок власних коштів та джерела фінансування, що не заборонені чинним законодавством</w:t>
            </w:r>
          </w:p>
        </w:tc>
        <w:tc>
          <w:tcPr>
            <w:tcW w:w="4731"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rPr>
                <w:rFonts w:ascii="Times New Roman" w:hAnsi="Times New Roman" w:cs="Times New Roman"/>
                <w:sz w:val="28"/>
                <w:szCs w:val="28"/>
                <w:lang w:eastAsia="ru-RU"/>
              </w:rPr>
            </w:pPr>
            <w:r w:rsidRPr="001C2164">
              <w:rPr>
                <w:rFonts w:ascii="Times New Roman" w:hAnsi="Times New Roman" w:cs="Times New Roman"/>
                <w:sz w:val="28"/>
                <w:szCs w:val="28"/>
                <w:lang w:eastAsia="ar-SA"/>
              </w:rPr>
              <w:t xml:space="preserve">47078,71  </w:t>
            </w:r>
            <w:r w:rsidRPr="001C2164">
              <w:rPr>
                <w:rFonts w:ascii="Times New Roman" w:hAnsi="Times New Roman" w:cs="Times New Roman"/>
                <w:sz w:val="28"/>
                <w:szCs w:val="28"/>
                <w:lang w:eastAsia="ru-RU"/>
              </w:rPr>
              <w:t>тис. грн.*</w:t>
            </w:r>
          </w:p>
        </w:tc>
      </w:tr>
      <w:tr w:rsidR="00732E08" w:rsidRPr="00BF3EF0" w:rsidTr="004C6CC4">
        <w:trPr>
          <w:trHeight w:val="365"/>
        </w:trPr>
        <w:tc>
          <w:tcPr>
            <w:tcW w:w="761" w:type="dxa"/>
            <w:tcBorders>
              <w:top w:val="nil"/>
              <w:left w:val="single" w:sz="8" w:space="0" w:color="000000"/>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jc w:val="center"/>
              <w:rPr>
                <w:rFonts w:ascii="Times New Roman" w:hAnsi="Times New Roman" w:cs="Times New Roman"/>
                <w:sz w:val="27"/>
                <w:szCs w:val="27"/>
                <w:lang w:eastAsia="ru-RU"/>
              </w:rPr>
            </w:pPr>
            <w:r w:rsidRPr="001C2164">
              <w:rPr>
                <w:rFonts w:ascii="Times New Roman" w:hAnsi="Times New Roman" w:cs="Times New Roman"/>
                <w:sz w:val="27"/>
                <w:szCs w:val="27"/>
                <w:lang w:eastAsia="ru-RU"/>
              </w:rPr>
              <w:t>10.2.</w:t>
            </w:r>
          </w:p>
        </w:tc>
        <w:tc>
          <w:tcPr>
            <w:tcW w:w="4258"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rPr>
                <w:rFonts w:ascii="Times New Roman" w:hAnsi="Times New Roman" w:cs="Times New Roman"/>
                <w:sz w:val="27"/>
                <w:szCs w:val="27"/>
                <w:lang w:eastAsia="ru-RU"/>
              </w:rPr>
            </w:pPr>
            <w:r w:rsidRPr="001C2164">
              <w:rPr>
                <w:rFonts w:ascii="Times New Roman" w:hAnsi="Times New Roman" w:cs="Times New Roman"/>
                <w:sz w:val="27"/>
                <w:szCs w:val="27"/>
                <w:lang w:eastAsia="ru-RU"/>
              </w:rPr>
              <w:t>Коштів інших джерел</w:t>
            </w:r>
          </w:p>
        </w:tc>
        <w:tc>
          <w:tcPr>
            <w:tcW w:w="4731" w:type="dxa"/>
            <w:tcBorders>
              <w:top w:val="nil"/>
              <w:left w:val="nil"/>
              <w:bottom w:val="single" w:sz="8" w:space="0" w:color="000000"/>
              <w:right w:val="single" w:sz="8" w:space="0" w:color="000000"/>
            </w:tcBorders>
            <w:tcMar>
              <w:top w:w="0" w:type="dxa"/>
              <w:left w:w="113" w:type="dxa"/>
              <w:bottom w:w="0" w:type="dxa"/>
              <w:right w:w="108" w:type="dxa"/>
            </w:tcMar>
            <w:vAlign w:val="center"/>
          </w:tcPr>
          <w:p w:rsidR="00732E08" w:rsidRPr="001C2164" w:rsidRDefault="00732E08" w:rsidP="001C2164">
            <w:pPr>
              <w:suppressAutoHyphens/>
              <w:rPr>
                <w:rFonts w:ascii="Times New Roman" w:hAnsi="Times New Roman" w:cs="Times New Roman"/>
                <w:sz w:val="27"/>
                <w:szCs w:val="27"/>
                <w:lang w:eastAsia="ru-RU"/>
              </w:rPr>
            </w:pPr>
            <w:r w:rsidRPr="001C2164">
              <w:rPr>
                <w:rFonts w:ascii="Times New Roman" w:hAnsi="Times New Roman" w:cs="Times New Roman"/>
                <w:sz w:val="27"/>
                <w:szCs w:val="27"/>
                <w:lang w:eastAsia="ru-RU"/>
              </w:rPr>
              <w:t xml:space="preserve">                   -</w:t>
            </w:r>
          </w:p>
        </w:tc>
      </w:tr>
    </w:tbl>
    <w:p w:rsidR="00732E08" w:rsidRPr="00B5080E" w:rsidRDefault="00732E08" w:rsidP="00B5080E">
      <w:pPr>
        <w:spacing w:after="0"/>
        <w:rPr>
          <w:rFonts w:ascii="Times New Roman" w:hAnsi="Times New Roman" w:cs="Times New Roman"/>
          <w:sz w:val="16"/>
          <w:szCs w:val="16"/>
        </w:rPr>
      </w:pPr>
    </w:p>
    <w:p w:rsidR="00732E08" w:rsidRPr="001C2164" w:rsidRDefault="00732E08" w:rsidP="00B5080E">
      <w:pPr>
        <w:spacing w:after="0"/>
        <w:rPr>
          <w:rFonts w:ascii="Times New Roman" w:hAnsi="Times New Roman" w:cs="Times New Roman"/>
          <w:sz w:val="28"/>
          <w:szCs w:val="28"/>
        </w:rPr>
      </w:pPr>
      <w:r w:rsidRPr="001C2164">
        <w:rPr>
          <w:rFonts w:ascii="Times New Roman" w:hAnsi="Times New Roman" w:cs="Times New Roman"/>
          <w:sz w:val="28"/>
          <w:szCs w:val="28"/>
        </w:rPr>
        <w:t>*</w:t>
      </w:r>
      <w:r w:rsidRPr="001C2164">
        <w:rPr>
          <w:rFonts w:ascii="Times New Roman" w:hAnsi="Times New Roman" w:cs="Times New Roman"/>
          <w:sz w:val="24"/>
          <w:szCs w:val="24"/>
        </w:rPr>
        <w:t>Розрахун</w:t>
      </w:r>
      <w:r>
        <w:rPr>
          <w:rFonts w:ascii="Times New Roman" w:hAnsi="Times New Roman" w:cs="Times New Roman"/>
          <w:sz w:val="24"/>
          <w:szCs w:val="24"/>
        </w:rPr>
        <w:t>ки вартості реалізації Програми</w:t>
      </w:r>
      <w:r w:rsidRPr="001C2164">
        <w:rPr>
          <w:rFonts w:ascii="Times New Roman" w:hAnsi="Times New Roman" w:cs="Times New Roman"/>
          <w:sz w:val="24"/>
          <w:szCs w:val="24"/>
        </w:rPr>
        <w:t xml:space="preserve"> здійснювалися по ціновим пропозиціям 2018 року.</w:t>
      </w:r>
    </w:p>
    <w:p w:rsidR="00732E08" w:rsidRPr="001C2164" w:rsidRDefault="00732E08" w:rsidP="001C2164">
      <w:pPr>
        <w:spacing w:after="0"/>
        <w:jc w:val="center"/>
        <w:rPr>
          <w:rFonts w:ascii="Times New Roman" w:hAnsi="Times New Roman" w:cs="Times New Roman"/>
          <w:b/>
          <w:bCs/>
          <w:sz w:val="28"/>
          <w:szCs w:val="28"/>
        </w:rPr>
      </w:pPr>
      <w:r w:rsidRPr="001C2164">
        <w:rPr>
          <w:rFonts w:ascii="Times New Roman" w:hAnsi="Times New Roman" w:cs="Times New Roman"/>
          <w:b/>
          <w:bCs/>
          <w:sz w:val="28"/>
          <w:szCs w:val="28"/>
        </w:rPr>
        <w:t>ПРОГРАМА</w:t>
      </w:r>
    </w:p>
    <w:p w:rsidR="00732E08" w:rsidRDefault="00732E08" w:rsidP="001C2164">
      <w:pPr>
        <w:spacing w:after="0"/>
        <w:jc w:val="center"/>
        <w:rPr>
          <w:rFonts w:ascii="Times New Roman" w:hAnsi="Times New Roman" w:cs="Times New Roman"/>
          <w:b/>
          <w:bCs/>
          <w:sz w:val="28"/>
          <w:szCs w:val="28"/>
        </w:rPr>
      </w:pPr>
      <w:r w:rsidRPr="001C2164">
        <w:rPr>
          <w:rFonts w:ascii="Times New Roman" w:hAnsi="Times New Roman" w:cs="Times New Roman"/>
          <w:b/>
          <w:bCs/>
          <w:sz w:val="28"/>
          <w:szCs w:val="28"/>
        </w:rPr>
        <w:t>заміни ава</w:t>
      </w:r>
      <w:r>
        <w:rPr>
          <w:rFonts w:ascii="Times New Roman" w:hAnsi="Times New Roman" w:cs="Times New Roman"/>
          <w:b/>
          <w:bCs/>
          <w:sz w:val="28"/>
          <w:szCs w:val="28"/>
        </w:rPr>
        <w:t>рійних ділянок інженерних мереж</w:t>
      </w:r>
    </w:p>
    <w:p w:rsidR="00732E08" w:rsidRDefault="00732E08" w:rsidP="001C2164">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теплопостачання та </w:t>
      </w:r>
      <w:r w:rsidRPr="001C2164">
        <w:rPr>
          <w:rFonts w:ascii="Times New Roman" w:hAnsi="Times New Roman" w:cs="Times New Roman"/>
          <w:b/>
          <w:bCs/>
          <w:sz w:val="28"/>
          <w:szCs w:val="28"/>
        </w:rPr>
        <w:t>гарячого водопостачання</w:t>
      </w:r>
    </w:p>
    <w:p w:rsidR="00732E08" w:rsidRPr="001C2164" w:rsidRDefault="00732E08" w:rsidP="001C2164">
      <w:pPr>
        <w:spacing w:after="0"/>
        <w:jc w:val="center"/>
        <w:rPr>
          <w:rFonts w:ascii="Times New Roman" w:hAnsi="Times New Roman" w:cs="Times New Roman"/>
          <w:b/>
          <w:bCs/>
          <w:sz w:val="28"/>
          <w:szCs w:val="28"/>
        </w:rPr>
      </w:pPr>
      <w:r w:rsidRPr="001C2164">
        <w:rPr>
          <w:rFonts w:ascii="Times New Roman" w:hAnsi="Times New Roman" w:cs="Times New Roman"/>
          <w:b/>
          <w:bCs/>
          <w:sz w:val="28"/>
          <w:szCs w:val="28"/>
        </w:rPr>
        <w:t>КП «Теплоенерго»</w:t>
      </w:r>
    </w:p>
    <w:p w:rsidR="00732E08" w:rsidRPr="001C2164" w:rsidRDefault="00732E08" w:rsidP="001C2164">
      <w:pPr>
        <w:spacing w:after="0"/>
        <w:jc w:val="center"/>
        <w:rPr>
          <w:rFonts w:ascii="Times New Roman" w:hAnsi="Times New Roman" w:cs="Times New Roman"/>
          <w:b/>
          <w:bCs/>
          <w:sz w:val="28"/>
          <w:szCs w:val="28"/>
        </w:rPr>
      </w:pPr>
      <w:r w:rsidRPr="001C2164">
        <w:rPr>
          <w:rFonts w:ascii="Times New Roman" w:hAnsi="Times New Roman" w:cs="Times New Roman"/>
          <w:b/>
          <w:bCs/>
          <w:sz w:val="28"/>
          <w:szCs w:val="28"/>
        </w:rPr>
        <w:t>на 2019 - 2021 роки</w:t>
      </w:r>
    </w:p>
    <w:p w:rsidR="00732E08" w:rsidRPr="001C2164" w:rsidRDefault="00732E08" w:rsidP="00993E11">
      <w:pPr>
        <w:spacing w:after="0"/>
        <w:ind w:firstLine="708"/>
        <w:jc w:val="center"/>
        <w:rPr>
          <w:rFonts w:ascii="Times New Roman" w:hAnsi="Times New Roman" w:cs="Times New Roman"/>
          <w:sz w:val="28"/>
          <w:szCs w:val="28"/>
        </w:rPr>
      </w:pPr>
    </w:p>
    <w:p w:rsidR="00732E08" w:rsidRPr="001C2164" w:rsidRDefault="00732E08" w:rsidP="008449F0">
      <w:pPr>
        <w:spacing w:after="0"/>
        <w:ind w:firstLine="708"/>
        <w:jc w:val="center"/>
        <w:rPr>
          <w:rFonts w:ascii="Times New Roman" w:hAnsi="Times New Roman" w:cs="Times New Roman"/>
          <w:b/>
          <w:bCs/>
          <w:sz w:val="28"/>
          <w:szCs w:val="28"/>
        </w:rPr>
      </w:pPr>
      <w:r w:rsidRPr="001C2164">
        <w:rPr>
          <w:rFonts w:ascii="Times New Roman" w:hAnsi="Times New Roman" w:cs="Times New Roman"/>
          <w:b/>
          <w:bCs/>
          <w:sz w:val="28"/>
          <w:szCs w:val="28"/>
        </w:rPr>
        <w:t>ВСТУП</w:t>
      </w:r>
    </w:p>
    <w:p w:rsidR="00732E08" w:rsidRPr="001C2164" w:rsidRDefault="00732E08" w:rsidP="008449F0">
      <w:pPr>
        <w:spacing w:after="0"/>
        <w:ind w:firstLine="708"/>
        <w:jc w:val="both"/>
        <w:rPr>
          <w:rFonts w:ascii="Times New Roman" w:hAnsi="Times New Roman" w:cs="Times New Roman"/>
          <w:sz w:val="28"/>
          <w:szCs w:val="28"/>
        </w:rPr>
      </w:pPr>
    </w:p>
    <w:p w:rsidR="00732E08" w:rsidRPr="001C2164" w:rsidRDefault="00732E08" w:rsidP="0021077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xml:space="preserve">В основу реалізації Програми покладено принцип об'єднання зусиль органу місцевого самоврядування та комунального підприємства «Теплоенерго» для вирішення питань щодо надання населенню міста Кременчука якісних послуг </w:t>
      </w:r>
      <w:r w:rsidRPr="001C2164">
        <w:t xml:space="preserve"> </w:t>
      </w:r>
      <w:r w:rsidRPr="001C2164">
        <w:rPr>
          <w:rFonts w:ascii="Times New Roman" w:hAnsi="Times New Roman" w:cs="Times New Roman"/>
          <w:sz w:val="28"/>
          <w:szCs w:val="28"/>
        </w:rPr>
        <w:t>з теплопостачання та централізованого гарячого водопостачання.</w:t>
      </w:r>
    </w:p>
    <w:p w:rsidR="00732E08" w:rsidRPr="001C2164" w:rsidRDefault="00732E08" w:rsidP="0021077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xml:space="preserve">Програма заміни аварійних ділянок інженерних мереж теплопостачання та гарячого водопостачання КП  «Теплоенерго» на 2019 - 2021 роки (далі - Програма) розроблена для здійснення ефективних і комплексних заходів щодо заміни аварійних ділянок інженерних мереж теплопостачання та гарячого водопостачання, здійснення аварійних ремонтних робіт, утримання інженерних мереж в належному і придатному до експлуатації стані. </w:t>
      </w:r>
    </w:p>
    <w:p w:rsidR="00732E08" w:rsidRPr="001C2164" w:rsidRDefault="00732E08" w:rsidP="0021077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xml:space="preserve"> Програма розроблена на виконання основних вимог Законів України та чинних нормативних актів.</w:t>
      </w:r>
    </w:p>
    <w:p w:rsidR="00732E08" w:rsidRPr="001C2164" w:rsidRDefault="00732E08" w:rsidP="0021077A">
      <w:pPr>
        <w:spacing w:after="0"/>
        <w:ind w:firstLine="708"/>
        <w:jc w:val="both"/>
        <w:rPr>
          <w:rFonts w:ascii="Times New Roman" w:hAnsi="Times New Roman" w:cs="Times New Roman"/>
          <w:sz w:val="28"/>
          <w:szCs w:val="28"/>
        </w:rPr>
      </w:pPr>
    </w:p>
    <w:p w:rsidR="00732E08" w:rsidRPr="001C2164" w:rsidRDefault="00732E08" w:rsidP="0021077A">
      <w:pPr>
        <w:spacing w:after="0"/>
        <w:ind w:firstLine="708"/>
        <w:jc w:val="both"/>
        <w:rPr>
          <w:rFonts w:ascii="Times New Roman" w:hAnsi="Times New Roman" w:cs="Times New Roman"/>
          <w:sz w:val="28"/>
          <w:szCs w:val="28"/>
        </w:rPr>
      </w:pPr>
    </w:p>
    <w:p w:rsidR="00732E08" w:rsidRPr="001C2164" w:rsidRDefault="00732E08" w:rsidP="0021077A">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9B5F6C">
      <w:pPr>
        <w:spacing w:after="0"/>
        <w:ind w:firstLine="708"/>
        <w:jc w:val="both"/>
        <w:rPr>
          <w:rFonts w:ascii="Times New Roman" w:hAnsi="Times New Roman" w:cs="Times New Roman"/>
          <w:b/>
          <w:bCs/>
          <w:sz w:val="28"/>
          <w:szCs w:val="28"/>
        </w:rPr>
      </w:pPr>
      <w:r w:rsidRPr="001C2164">
        <w:rPr>
          <w:rFonts w:ascii="Times New Roman" w:hAnsi="Times New Roman" w:cs="Times New Roman"/>
          <w:b/>
          <w:bCs/>
          <w:sz w:val="28"/>
          <w:szCs w:val="28"/>
        </w:rPr>
        <w:t>І. Визначення проблеми, на розв язання якої спрямована Програма.</w:t>
      </w:r>
    </w:p>
    <w:p w:rsidR="00732E08" w:rsidRPr="001C2164" w:rsidRDefault="00732E08" w:rsidP="009B5F6C">
      <w:pPr>
        <w:spacing w:after="0"/>
        <w:ind w:firstLine="708"/>
        <w:jc w:val="both"/>
        <w:rPr>
          <w:rFonts w:ascii="Times New Roman" w:hAnsi="Times New Roman" w:cs="Times New Roman"/>
          <w:sz w:val="28"/>
          <w:szCs w:val="28"/>
        </w:rPr>
      </w:pPr>
    </w:p>
    <w:p w:rsidR="00732E08" w:rsidRPr="001C2164" w:rsidRDefault="00732E08" w:rsidP="001C2164">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Підприємство КП «Теплоенерго» (далі Підприємство) відповідно до рішення Виконавчого комітету Кременчуцької міської ради Полтавської області від 16.08.2002 р. № 879 здійснює постачання теплової енергії та гарячої води мешканцям та підприємствам м. Кременчука. Підприємство забезпечує стабільне функціонування та експлуатацію котельних, теплових пунктів, та теплових мереж, проводить поточний ремонт та капітальний ремонти об’єктів теплового господарства.</w:t>
      </w:r>
    </w:p>
    <w:p w:rsidR="00732E08" w:rsidRPr="001C2164" w:rsidRDefault="00732E08" w:rsidP="000A5C6E">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xml:space="preserve">На балансі КП </w:t>
      </w:r>
      <w:r>
        <w:rPr>
          <w:rFonts w:ascii="Times New Roman" w:hAnsi="Times New Roman" w:cs="Times New Roman"/>
          <w:sz w:val="28"/>
          <w:szCs w:val="28"/>
        </w:rPr>
        <w:t>«</w:t>
      </w:r>
      <w:r w:rsidRPr="001C2164">
        <w:rPr>
          <w:rFonts w:ascii="Times New Roman" w:hAnsi="Times New Roman" w:cs="Times New Roman"/>
          <w:sz w:val="28"/>
          <w:szCs w:val="28"/>
        </w:rPr>
        <w:t>Теплоенерго</w:t>
      </w:r>
      <w:r>
        <w:rPr>
          <w:rFonts w:ascii="Times New Roman" w:hAnsi="Times New Roman" w:cs="Times New Roman"/>
          <w:sz w:val="28"/>
          <w:szCs w:val="28"/>
        </w:rPr>
        <w:t>»</w:t>
      </w:r>
      <w:r w:rsidRPr="001C2164">
        <w:rPr>
          <w:rFonts w:ascii="Times New Roman" w:hAnsi="Times New Roman" w:cs="Times New Roman"/>
          <w:sz w:val="28"/>
          <w:szCs w:val="28"/>
        </w:rPr>
        <w:t xml:space="preserve"> станом на 29.06.2017 року знаходиться 18 котельних, в тому числі 2 дахові, 46 центральних теплових пунктів, 217,641 км трубопроводів центрального опалення та гарячого водопостачання в 2-х трубному обчисленні.</w:t>
      </w:r>
      <w:r w:rsidRPr="001C2164">
        <w:t xml:space="preserve"> </w:t>
      </w:r>
      <w:r w:rsidRPr="001C2164">
        <w:rPr>
          <w:rFonts w:ascii="Times New Roman" w:hAnsi="Times New Roman" w:cs="Times New Roman"/>
          <w:sz w:val="28"/>
          <w:szCs w:val="28"/>
        </w:rPr>
        <w:t>Середньооблікова чисельність працівників становить 364 особи.</w:t>
      </w:r>
    </w:p>
    <w:p w:rsidR="00732E08" w:rsidRPr="001C2164" w:rsidRDefault="00732E08" w:rsidP="000A5C6E">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На 18 котельних встановлено 42 котли різної теплопродуктивності. Встановлена потужність котелень – 84,222 Гкал/год. Всі котельні працюють на газоподібному паливі, 12 котелень надають послугу тільки в опалювальний сезон, 6 котелень працюють протягом року.</w:t>
      </w:r>
    </w:p>
    <w:p w:rsidR="00732E08" w:rsidRPr="001C2164" w:rsidRDefault="00732E08" w:rsidP="000A5C6E">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Гаряче водопостачання від котельні кварталу 176 вул. Говорова 29А від центрального теплового пункту, який побудовано поруч з котельною.</w:t>
      </w:r>
    </w:p>
    <w:p w:rsidR="00732E08" w:rsidRPr="001C2164" w:rsidRDefault="00732E08" w:rsidP="000A5C6E">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На шести котельних водопідігрівальні установки змонтовані, безпосередньо в котельних:</w:t>
      </w:r>
    </w:p>
    <w:p w:rsidR="00732E08" w:rsidRPr="001C2164" w:rsidRDefault="00732E08" w:rsidP="000A5C6E">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вул. Мічуріна, буд. 89А;</w:t>
      </w:r>
    </w:p>
    <w:p w:rsidR="00732E08" w:rsidRPr="001C2164" w:rsidRDefault="00732E08" w:rsidP="000A5C6E">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вул. Івана Приходька, буд. 101А;</w:t>
      </w:r>
    </w:p>
    <w:p w:rsidR="00732E08" w:rsidRPr="001C2164" w:rsidRDefault="00732E08" w:rsidP="000A5C6E">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вул. Європейська, буд. 68А (дахова);</w:t>
      </w:r>
    </w:p>
    <w:p w:rsidR="00732E08" w:rsidRPr="001C2164" w:rsidRDefault="00732E08" w:rsidP="000A5C6E">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вул. квартал 101, буд. 10Б (дахова);</w:t>
      </w:r>
    </w:p>
    <w:p w:rsidR="00732E08" w:rsidRPr="001C2164" w:rsidRDefault="00732E08" w:rsidP="000A5C6E">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вул. Майора Борищака 20/3.</w:t>
      </w:r>
    </w:p>
    <w:p w:rsidR="00732E08" w:rsidRPr="001C2164" w:rsidRDefault="00732E08" w:rsidP="001C2164">
      <w:pPr>
        <w:spacing w:after="0"/>
        <w:ind w:firstLine="708"/>
        <w:jc w:val="both"/>
      </w:pPr>
      <w:r w:rsidRPr="001C2164">
        <w:rPr>
          <w:rFonts w:ascii="Times New Roman" w:hAnsi="Times New Roman" w:cs="Times New Roman"/>
          <w:sz w:val="28"/>
          <w:szCs w:val="28"/>
        </w:rPr>
        <w:t>На котельні кварталу 17 за адресою вул. Івана Приходько, 30А схема теплопостачання кварталу двохтрубна. Гаряче водопостачання кварталу поступає від індивідуальних теплових пунктів, які розташовані в підвалах житлових будинків. Індивідуальні теплові пункти знаходяться на балансі житлових організацій і обслуговуються їх персоналом.</w:t>
      </w:r>
      <w:r w:rsidRPr="001C2164">
        <w:t xml:space="preserve"> </w:t>
      </w:r>
    </w:p>
    <w:p w:rsidR="00732E08" w:rsidRPr="001C2164" w:rsidRDefault="00732E08" w:rsidP="001C2164">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На підприємстві встановлено основне енергетичне обладнання котелень – це котли, а саме:</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 xml:space="preserve">-КВ-Г-5,2-115СН </w:t>
      </w:r>
      <w:r>
        <w:rPr>
          <w:rFonts w:ascii="Times New Roman" w:hAnsi="Times New Roman" w:cs="Times New Roman"/>
          <w:sz w:val="28"/>
          <w:szCs w:val="28"/>
        </w:rPr>
        <w:t>«</w:t>
      </w:r>
      <w:r w:rsidRPr="001C2164">
        <w:rPr>
          <w:rFonts w:ascii="Times New Roman" w:hAnsi="Times New Roman" w:cs="Times New Roman"/>
          <w:sz w:val="28"/>
          <w:szCs w:val="28"/>
        </w:rPr>
        <w:t>Грач</w:t>
      </w:r>
      <w:r>
        <w:rPr>
          <w:rFonts w:ascii="Times New Roman" w:hAnsi="Times New Roman" w:cs="Times New Roman"/>
          <w:sz w:val="28"/>
          <w:szCs w:val="28"/>
        </w:rPr>
        <w:t>»</w:t>
      </w:r>
      <w:r w:rsidRPr="001C2164">
        <w:rPr>
          <w:rFonts w:ascii="Times New Roman" w:hAnsi="Times New Roman" w:cs="Times New Roman"/>
          <w:sz w:val="28"/>
          <w:szCs w:val="28"/>
        </w:rPr>
        <w:t xml:space="preserve"> - 3 шт., котельня кварталу 620;</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-КВГ-7,56-150 - 3 шт., котельня кварталу 17;</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-VITOMAX-200-LX – 2 шт., котельня кварталу 176;</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-Vitoplex -200  тип SX2A – 2 шт., котельня Пождепо;</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-КВ-ГМ-5,8 – 3 шт., котельня кварталу 142-143;</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-Факел 1Г – 2 шт., котельня СШ №7</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-ВК – 21 – 2 шт., котельня Хлібної бази №81;</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-Vitoplex 100 PV 1 – 2 шт., котельня СШ №21;</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-Факел 1Г – 1 шт., котельня СШ №21;</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-SUPERAC-520 - 2 шт., котельня Управління зрошувальних систем;</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-Superac-230 – 1 шт., дахова котельня, вул.</w:t>
      </w:r>
      <w:r>
        <w:rPr>
          <w:rFonts w:ascii="Times New Roman" w:hAnsi="Times New Roman" w:cs="Times New Roman"/>
          <w:sz w:val="28"/>
          <w:szCs w:val="28"/>
        </w:rPr>
        <w:t xml:space="preserve"> </w:t>
      </w:r>
      <w:r w:rsidRPr="001C2164">
        <w:rPr>
          <w:rFonts w:ascii="Times New Roman" w:hAnsi="Times New Roman" w:cs="Times New Roman"/>
          <w:sz w:val="28"/>
          <w:szCs w:val="28"/>
        </w:rPr>
        <w:t>Європейська, 68-а;</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-Superac-345 – 1 шт., дахова котельня, вул.</w:t>
      </w:r>
      <w:r>
        <w:rPr>
          <w:rFonts w:ascii="Times New Roman" w:hAnsi="Times New Roman" w:cs="Times New Roman"/>
          <w:sz w:val="28"/>
          <w:szCs w:val="28"/>
        </w:rPr>
        <w:t xml:space="preserve"> </w:t>
      </w:r>
      <w:r w:rsidRPr="001C2164">
        <w:rPr>
          <w:rFonts w:ascii="Times New Roman" w:hAnsi="Times New Roman" w:cs="Times New Roman"/>
          <w:sz w:val="28"/>
          <w:szCs w:val="28"/>
        </w:rPr>
        <w:t>Європейська, 68-а;</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-COMPACT SA 300 – 1 шт., дахова котельня кварталу 101;</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-COMPACT SA 250  - 1 шт., дахова котельня кварталу 101;</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-АОГВ-100 – 2 шт., котельня ЗОШ №2;</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-МАЯК-30Е – 2 шт., котельня ЗОШ №24;</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-КОЛВІ-30 – 2 шт., котельня ДНЗ №4;</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-НОМ-3 мк – 2 шт., котельня СШ №24;</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-КС-Г-100 – 2 шт., котельня СШ №24;</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-Riello RTQ-1000 – 2 шт., котельня Пологового будинку;</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-Nova Florida ALTAIR RTN № Е 99 – 2шт., котельня по вул. Академіка   Герасимовича, 2-а.</w:t>
      </w:r>
    </w:p>
    <w:p w:rsidR="00732E08" w:rsidRPr="001C2164" w:rsidRDefault="00732E08" w:rsidP="001C2164">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Основне та допоміжне обладнання котелень знаходиться у робочому стані. За останні 8 років на підприємстві повністю замінені котли НІІСТУ-5 на котли імпортного виробництва з К.К.Д. котлів 92-94%.</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 xml:space="preserve">Крім реалізації теплової енергії, виробленої на власних джерелах, підприємство закуповує теплову енергію вироблену на ТЕЦ ПАТ </w:t>
      </w:r>
      <w:r>
        <w:rPr>
          <w:rFonts w:ascii="Times New Roman" w:hAnsi="Times New Roman" w:cs="Times New Roman"/>
          <w:sz w:val="28"/>
          <w:szCs w:val="28"/>
        </w:rPr>
        <w:t>«</w:t>
      </w:r>
      <w:r w:rsidRPr="001C2164">
        <w:rPr>
          <w:rFonts w:ascii="Times New Roman" w:hAnsi="Times New Roman" w:cs="Times New Roman"/>
          <w:sz w:val="28"/>
          <w:szCs w:val="28"/>
        </w:rPr>
        <w:t>Крюківський вагонобудівний завод</w:t>
      </w:r>
      <w:r>
        <w:rPr>
          <w:rFonts w:ascii="Times New Roman" w:hAnsi="Times New Roman" w:cs="Times New Roman"/>
          <w:sz w:val="28"/>
          <w:szCs w:val="28"/>
        </w:rPr>
        <w:t>»</w:t>
      </w:r>
      <w:r w:rsidRPr="001C2164">
        <w:rPr>
          <w:rFonts w:ascii="Times New Roman" w:hAnsi="Times New Roman" w:cs="Times New Roman"/>
          <w:sz w:val="28"/>
          <w:szCs w:val="28"/>
        </w:rPr>
        <w:t xml:space="preserve"> (далі ПАТ </w:t>
      </w:r>
      <w:r>
        <w:rPr>
          <w:rFonts w:ascii="Times New Roman" w:hAnsi="Times New Roman" w:cs="Times New Roman"/>
          <w:sz w:val="28"/>
          <w:szCs w:val="28"/>
        </w:rPr>
        <w:t>«</w:t>
      </w:r>
      <w:r w:rsidRPr="001C2164">
        <w:rPr>
          <w:rFonts w:ascii="Times New Roman" w:hAnsi="Times New Roman" w:cs="Times New Roman"/>
          <w:sz w:val="28"/>
          <w:szCs w:val="28"/>
        </w:rPr>
        <w:t>КВБЗ</w:t>
      </w:r>
      <w:r>
        <w:rPr>
          <w:rFonts w:ascii="Times New Roman" w:hAnsi="Times New Roman" w:cs="Times New Roman"/>
          <w:sz w:val="28"/>
          <w:szCs w:val="28"/>
        </w:rPr>
        <w:t>»</w:t>
      </w:r>
      <w:r w:rsidRPr="001C2164">
        <w:rPr>
          <w:rFonts w:ascii="Times New Roman" w:hAnsi="Times New Roman" w:cs="Times New Roman"/>
          <w:sz w:val="28"/>
          <w:szCs w:val="28"/>
        </w:rPr>
        <w:t>) та реалізовує її споживачам для потреб опалення та гарячого водопостачання на правому березі Кременчука.</w:t>
      </w:r>
    </w:p>
    <w:p w:rsidR="00732E08" w:rsidRPr="001C2164" w:rsidRDefault="00732E08" w:rsidP="00644CD0">
      <w:pPr>
        <w:spacing w:after="0"/>
        <w:jc w:val="both"/>
        <w:rPr>
          <w:rFonts w:ascii="Times New Roman" w:hAnsi="Times New Roman" w:cs="Times New Roman"/>
          <w:sz w:val="28"/>
          <w:szCs w:val="28"/>
        </w:rPr>
      </w:pPr>
      <w:r w:rsidRPr="001C2164">
        <w:rPr>
          <w:rFonts w:ascii="Times New Roman" w:hAnsi="Times New Roman" w:cs="Times New Roman"/>
          <w:sz w:val="28"/>
          <w:szCs w:val="28"/>
        </w:rPr>
        <w:t xml:space="preserve">Транспортування теплової енергії від ТЕЦ ПАТ </w:t>
      </w:r>
      <w:r>
        <w:rPr>
          <w:rFonts w:ascii="Times New Roman" w:hAnsi="Times New Roman" w:cs="Times New Roman"/>
          <w:sz w:val="28"/>
          <w:szCs w:val="28"/>
        </w:rPr>
        <w:t>«</w:t>
      </w:r>
      <w:r w:rsidRPr="001C2164">
        <w:rPr>
          <w:rFonts w:ascii="Times New Roman" w:hAnsi="Times New Roman" w:cs="Times New Roman"/>
          <w:sz w:val="28"/>
          <w:szCs w:val="28"/>
        </w:rPr>
        <w:t>КВБЗ</w:t>
      </w:r>
      <w:r>
        <w:rPr>
          <w:rFonts w:ascii="Times New Roman" w:hAnsi="Times New Roman" w:cs="Times New Roman"/>
          <w:sz w:val="28"/>
          <w:szCs w:val="28"/>
        </w:rPr>
        <w:t>»</w:t>
      </w:r>
      <w:r w:rsidRPr="001C2164">
        <w:rPr>
          <w:rFonts w:ascii="Times New Roman" w:hAnsi="Times New Roman" w:cs="Times New Roman"/>
          <w:sz w:val="28"/>
          <w:szCs w:val="28"/>
        </w:rPr>
        <w:t xml:space="preserve"> здійснюється по магістральних та розподільчих теплових мережах, які знаходяться на балансі КП </w:t>
      </w:r>
      <w:r>
        <w:rPr>
          <w:rFonts w:ascii="Times New Roman" w:hAnsi="Times New Roman" w:cs="Times New Roman"/>
          <w:sz w:val="28"/>
          <w:szCs w:val="28"/>
        </w:rPr>
        <w:t>«</w:t>
      </w:r>
      <w:r w:rsidRPr="001C2164">
        <w:rPr>
          <w:rFonts w:ascii="Times New Roman" w:hAnsi="Times New Roman" w:cs="Times New Roman"/>
          <w:sz w:val="28"/>
          <w:szCs w:val="28"/>
        </w:rPr>
        <w:t>Теплоенерго</w:t>
      </w:r>
      <w:r>
        <w:rPr>
          <w:rFonts w:ascii="Times New Roman" w:hAnsi="Times New Roman" w:cs="Times New Roman"/>
          <w:sz w:val="28"/>
          <w:szCs w:val="28"/>
        </w:rPr>
        <w:t>»</w:t>
      </w:r>
      <w:r w:rsidRPr="001C2164">
        <w:rPr>
          <w:rFonts w:ascii="Times New Roman" w:hAnsi="Times New Roman" w:cs="Times New Roman"/>
          <w:sz w:val="28"/>
          <w:szCs w:val="28"/>
        </w:rPr>
        <w:t>. Гаряче водопостачання в мікрорайоні від 5-ти ЦТП, які також на балансі підприємства.</w:t>
      </w:r>
    </w:p>
    <w:p w:rsidR="00732E08" w:rsidRPr="001C2164" w:rsidRDefault="00732E08" w:rsidP="001C2164">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xml:space="preserve">Також, на баланс КП </w:t>
      </w:r>
      <w:r>
        <w:rPr>
          <w:rFonts w:ascii="Times New Roman" w:hAnsi="Times New Roman" w:cs="Times New Roman"/>
          <w:sz w:val="28"/>
          <w:szCs w:val="28"/>
        </w:rPr>
        <w:t>«</w:t>
      </w:r>
      <w:r w:rsidRPr="001C2164">
        <w:rPr>
          <w:rFonts w:ascii="Times New Roman" w:hAnsi="Times New Roman" w:cs="Times New Roman"/>
          <w:sz w:val="28"/>
          <w:szCs w:val="28"/>
        </w:rPr>
        <w:t>Теплоенерго</w:t>
      </w:r>
      <w:r>
        <w:rPr>
          <w:rFonts w:ascii="Times New Roman" w:hAnsi="Times New Roman" w:cs="Times New Roman"/>
          <w:sz w:val="28"/>
          <w:szCs w:val="28"/>
        </w:rPr>
        <w:t>»</w:t>
      </w:r>
      <w:r w:rsidRPr="001C2164">
        <w:rPr>
          <w:rFonts w:ascii="Times New Roman" w:hAnsi="Times New Roman" w:cs="Times New Roman"/>
          <w:sz w:val="28"/>
          <w:szCs w:val="28"/>
        </w:rPr>
        <w:t xml:space="preserve"> рішенням Кременчуцької міської ради № 489 від 31.05.2016р. було прийнято від КП </w:t>
      </w:r>
      <w:r>
        <w:rPr>
          <w:rFonts w:ascii="Times New Roman" w:hAnsi="Times New Roman" w:cs="Times New Roman"/>
          <w:sz w:val="28"/>
          <w:szCs w:val="28"/>
        </w:rPr>
        <w:t>«</w:t>
      </w:r>
      <w:r w:rsidRPr="001C2164">
        <w:rPr>
          <w:rFonts w:ascii="Times New Roman" w:hAnsi="Times New Roman" w:cs="Times New Roman"/>
          <w:sz w:val="28"/>
          <w:szCs w:val="28"/>
        </w:rPr>
        <w:t>Благоустрій Кременчука</w:t>
      </w:r>
      <w:r>
        <w:rPr>
          <w:rFonts w:ascii="Times New Roman" w:hAnsi="Times New Roman" w:cs="Times New Roman"/>
          <w:sz w:val="28"/>
          <w:szCs w:val="28"/>
        </w:rPr>
        <w:t>»</w:t>
      </w:r>
      <w:r w:rsidRPr="001C2164">
        <w:rPr>
          <w:rFonts w:ascii="Times New Roman" w:hAnsi="Times New Roman" w:cs="Times New Roman"/>
          <w:sz w:val="28"/>
          <w:szCs w:val="28"/>
        </w:rPr>
        <w:t xml:space="preserve"> - 167,161 км трубопроводів у 2-х трубному вимірі та 40 ЦТП, які задіяні тільки у транспортуванні теплової енергії від Кременчуцької філії ТЕЦ ПАТ </w:t>
      </w:r>
      <w:r>
        <w:rPr>
          <w:rFonts w:ascii="Times New Roman" w:hAnsi="Times New Roman" w:cs="Times New Roman"/>
          <w:sz w:val="28"/>
          <w:szCs w:val="28"/>
        </w:rPr>
        <w:t>«</w:t>
      </w:r>
      <w:r w:rsidRPr="001C2164">
        <w:rPr>
          <w:rFonts w:ascii="Times New Roman" w:hAnsi="Times New Roman" w:cs="Times New Roman"/>
          <w:sz w:val="28"/>
          <w:szCs w:val="28"/>
        </w:rPr>
        <w:t>Полтаваобленерго</w:t>
      </w:r>
      <w:r>
        <w:rPr>
          <w:rFonts w:ascii="Times New Roman" w:hAnsi="Times New Roman" w:cs="Times New Roman"/>
          <w:sz w:val="28"/>
          <w:szCs w:val="28"/>
        </w:rPr>
        <w:t>»</w:t>
      </w:r>
      <w:r w:rsidRPr="001C2164">
        <w:rPr>
          <w:rFonts w:ascii="Times New Roman" w:hAnsi="Times New Roman" w:cs="Times New Roman"/>
          <w:sz w:val="28"/>
          <w:szCs w:val="28"/>
        </w:rPr>
        <w:t>.</w:t>
      </w:r>
    </w:p>
    <w:p w:rsidR="00732E08" w:rsidRPr="001C2164" w:rsidRDefault="00732E08" w:rsidP="001C2164">
      <w:pPr>
        <w:spacing w:after="0"/>
        <w:ind w:firstLine="708"/>
        <w:jc w:val="both"/>
      </w:pPr>
      <w:r w:rsidRPr="001C2164">
        <w:rPr>
          <w:rFonts w:ascii="Times New Roman" w:hAnsi="Times New Roman" w:cs="Times New Roman"/>
          <w:sz w:val="28"/>
          <w:szCs w:val="28"/>
        </w:rPr>
        <w:t>Господарську діяльність з виробництва, постачання та транспортування теплової енергії магістральними та місцевими (розподільчими) тепловими мережами Підприємство здійснює відповідно до ліцензій, виданих Полтавською обласною державною адміністрацією.</w:t>
      </w:r>
      <w:r w:rsidRPr="001C2164">
        <w:t xml:space="preserve"> </w:t>
      </w:r>
    </w:p>
    <w:p w:rsidR="00732E08" w:rsidRPr="001C2164" w:rsidRDefault="00732E08" w:rsidP="001C2164">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Будівництво більшої частини теплових мереж міста та центральних теплових пунктів проводилось з 1964 р. Тобто деякі ділянки тепломереж експлуатуються понад 50 років. За цей час окремі ділянки не ремонтувалися взагалі та експлуатувалися в несприятливих умовах, а саме: підтоплювалися ґрунтовими та талими водами, а також водами інших мереж, тощо. Так, при гідравлічних випробуваннях теплових мереж КП «Теплоенерго» у 2017р. було виявлено і усунено 110 поривів теплових мереж. На теперішній час тепломережі наведені у переліку додатку 1, є аварійними та потребують заміни для подальшої експлуатації та надійного забезпечення споживачів тепловою енергією.</w:t>
      </w:r>
    </w:p>
    <w:p w:rsidR="00732E08" w:rsidRPr="001C2164" w:rsidRDefault="00732E08" w:rsidP="001C2164">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Заміна означених тепломереж дозволить зменшити фінансові втрати при аварійно-відновлювальних роботах, а також скоротити витоки води та теплової енергії під час аварійних поривів тепломереж. Подальша експлуатація даних ділянок без заміни може призвести до значного збільшення аварійних ситуацій та припинення теплозабезпечення споживачів, що в кінцевому результаті може привести до зриву опалювального сезону та, як наслідок, до соціальної напруги у місті.</w:t>
      </w:r>
    </w:p>
    <w:p w:rsidR="00732E08" w:rsidRPr="00633914" w:rsidRDefault="00732E08" w:rsidP="009D6C83">
      <w:pPr>
        <w:suppressAutoHyphens/>
        <w:spacing w:before="10" w:after="10" w:line="240" w:lineRule="auto"/>
        <w:ind w:right="28"/>
        <w:jc w:val="center"/>
        <w:rPr>
          <w:rFonts w:ascii="Times New Roman" w:hAnsi="Times New Roman" w:cs="Times New Roman"/>
          <w:b/>
          <w:bCs/>
          <w:sz w:val="28"/>
          <w:szCs w:val="28"/>
        </w:rPr>
      </w:pPr>
      <w:r w:rsidRPr="00633914">
        <w:rPr>
          <w:rFonts w:ascii="Times New Roman" w:hAnsi="Times New Roman" w:cs="Times New Roman"/>
          <w:b/>
          <w:bCs/>
          <w:sz w:val="28"/>
          <w:szCs w:val="28"/>
        </w:rPr>
        <w:t>Інформація щодо об’єктів, які обслуговує КП «Теплоенерго»</w:t>
      </w:r>
    </w:p>
    <w:tbl>
      <w:tblPr>
        <w:tblW w:w="0" w:type="auto"/>
        <w:tblInd w:w="-13" w:type="dxa"/>
        <w:tblCellMar>
          <w:top w:w="15" w:type="dxa"/>
          <w:left w:w="15" w:type="dxa"/>
          <w:bottom w:w="15" w:type="dxa"/>
          <w:right w:w="15" w:type="dxa"/>
        </w:tblCellMar>
        <w:tblLook w:val="0000"/>
      </w:tblPr>
      <w:tblGrid>
        <w:gridCol w:w="555"/>
        <w:gridCol w:w="5272"/>
        <w:gridCol w:w="3827"/>
      </w:tblGrid>
      <w:tr w:rsidR="00732E08" w:rsidRPr="00BF3EF0">
        <w:trPr>
          <w:trHeight w:val="546"/>
        </w:trPr>
        <w:tc>
          <w:tcPr>
            <w:tcW w:w="5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1C2164" w:rsidRDefault="00732E08" w:rsidP="009D6C83">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Найменування</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1C2164" w:rsidRDefault="00732E08" w:rsidP="009D6C83">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Адреса</w:t>
            </w:r>
          </w:p>
          <w:p w:rsidR="00732E08" w:rsidRPr="001C2164" w:rsidRDefault="00732E08" w:rsidP="009D6C83">
            <w:pPr>
              <w:suppressAutoHyphens/>
              <w:spacing w:after="0" w:line="240" w:lineRule="auto"/>
              <w:jc w:val="center"/>
              <w:rPr>
                <w:rFonts w:ascii="Times New Roman" w:hAnsi="Times New Roman" w:cs="Times New Roman"/>
                <w:color w:val="000000"/>
                <w:sz w:val="24"/>
                <w:szCs w:val="24"/>
                <w:lang w:eastAsia="ru-RU"/>
              </w:rPr>
            </w:pPr>
          </w:p>
        </w:tc>
      </w:tr>
      <w:tr w:rsidR="00732E08" w:rsidRPr="00BF3EF0">
        <w:trPr>
          <w:trHeight w:val="315"/>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кв. 620</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633914">
            <w:pPr>
              <w:rPr>
                <w:rFonts w:ascii="Times New Roman" w:hAnsi="Times New Roman" w:cs="Times New Roman"/>
                <w:sz w:val="24"/>
                <w:szCs w:val="24"/>
              </w:rPr>
            </w:pPr>
            <w:r w:rsidRPr="00BF3EF0">
              <w:rPr>
                <w:rFonts w:ascii="Times New Roman" w:hAnsi="Times New Roman" w:cs="Times New Roman"/>
                <w:sz w:val="24"/>
                <w:szCs w:val="24"/>
              </w:rPr>
              <w:t>вул. Приходька, 101-а</w:t>
            </w:r>
          </w:p>
        </w:tc>
      </w:tr>
      <w:tr w:rsidR="00732E08" w:rsidRPr="00BF3EF0">
        <w:trPr>
          <w:trHeight w:val="297"/>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2.</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кв. 17</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633914">
            <w:pPr>
              <w:rPr>
                <w:rFonts w:ascii="Times New Roman" w:hAnsi="Times New Roman" w:cs="Times New Roman"/>
                <w:sz w:val="24"/>
                <w:szCs w:val="24"/>
              </w:rPr>
            </w:pPr>
            <w:r w:rsidRPr="00BF3EF0">
              <w:rPr>
                <w:rFonts w:ascii="Times New Roman" w:hAnsi="Times New Roman" w:cs="Times New Roman"/>
                <w:sz w:val="24"/>
                <w:szCs w:val="24"/>
              </w:rPr>
              <w:t>вул. Приходька, 30-а</w:t>
            </w:r>
          </w:p>
        </w:tc>
      </w:tr>
      <w:tr w:rsidR="00732E08" w:rsidRPr="00BF3EF0">
        <w:trPr>
          <w:trHeight w:val="297"/>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3.</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кв. 176</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Говорова, 28-а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4.</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Пождепо</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Кузнечна, 32-а</w:t>
            </w:r>
          </w:p>
        </w:tc>
      </w:tr>
      <w:tr w:rsidR="00732E08" w:rsidRPr="00BF3EF0">
        <w:trPr>
          <w:trHeight w:val="27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5.</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кв. 142-143</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Мічурина, 89-а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6.</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СШ №7</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Пілотів, 43-а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7.</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хлібної бази №81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Ю.Кондратюка, 7-б</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8.</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СШ №21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Чкалова, 217-а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9.</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управління зрошувальних систем</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Целіноградська, 3-б</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10.</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ЗОШ №2</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Б.Хмельницького, 66</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11.</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ДНЗ №4</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Соломії Крушельницької, 40</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12.</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ЗОШ №29</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Республіканська, 76</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13.</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ЗОШ №24 (1)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просп. Полтавський, 11</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14.</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Котельня ЗОШ №24 (2)</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просп. Полтавський, 16-а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15.</w:t>
            </w:r>
          </w:p>
        </w:tc>
        <w:tc>
          <w:tcPr>
            <w:tcW w:w="5272" w:type="dxa"/>
            <w:tcBorders>
              <w:top w:val="single" w:sz="6" w:space="0" w:color="000000"/>
              <w:left w:val="single" w:sz="6" w:space="0" w:color="000000"/>
              <w:bottom w:val="single" w:sz="6" w:space="0" w:color="000000"/>
              <w:right w:val="single" w:sz="6" w:space="0" w:color="000000"/>
            </w:tcBorders>
            <w:shd w:val="clear" w:color="auto" w:fill="FFFFFF"/>
          </w:tcPr>
          <w:p w:rsidR="00732E08" w:rsidRPr="00BF3EF0" w:rsidRDefault="00732E08" w:rsidP="00DF7B61">
            <w:pPr>
              <w:rPr>
                <w:rFonts w:ascii="Times New Roman" w:hAnsi="Times New Roman" w:cs="Times New Roman"/>
                <w:sz w:val="24"/>
                <w:szCs w:val="24"/>
              </w:rPr>
            </w:pPr>
            <w:r w:rsidRPr="00BF3EF0">
              <w:rPr>
                <w:rFonts w:ascii="Times New Roman" w:hAnsi="Times New Roman" w:cs="Times New Roman"/>
                <w:sz w:val="24"/>
                <w:szCs w:val="24"/>
              </w:rPr>
              <w:t>Дахова котельня, вул. Європейська, 68-а</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Європейська, 68-а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16.</w:t>
            </w:r>
          </w:p>
        </w:tc>
        <w:tc>
          <w:tcPr>
            <w:tcW w:w="5272" w:type="dxa"/>
            <w:tcBorders>
              <w:top w:val="single" w:sz="6" w:space="0" w:color="000000"/>
              <w:left w:val="single" w:sz="6" w:space="0" w:color="000000"/>
              <w:bottom w:val="single" w:sz="6" w:space="0" w:color="000000"/>
              <w:right w:val="single" w:sz="6" w:space="0" w:color="000000"/>
            </w:tcBorders>
            <w:shd w:val="clear" w:color="auto" w:fill="FFFFFF"/>
          </w:tcPr>
          <w:p w:rsidR="00732E08" w:rsidRPr="00BF3EF0" w:rsidRDefault="00732E08" w:rsidP="00DF7B61">
            <w:pPr>
              <w:rPr>
                <w:rFonts w:ascii="Times New Roman" w:hAnsi="Times New Roman" w:cs="Times New Roman"/>
                <w:sz w:val="24"/>
                <w:szCs w:val="24"/>
              </w:rPr>
            </w:pPr>
            <w:r w:rsidRPr="00BF3EF0">
              <w:rPr>
                <w:rFonts w:ascii="Times New Roman" w:hAnsi="Times New Roman" w:cs="Times New Roman"/>
                <w:sz w:val="24"/>
                <w:szCs w:val="24"/>
              </w:rPr>
              <w:t>Дахова котельня кв. 101 буд.10-б</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кв. 101, буд.10-б</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17.</w:t>
            </w:r>
          </w:p>
        </w:tc>
        <w:tc>
          <w:tcPr>
            <w:tcW w:w="5272" w:type="dxa"/>
            <w:tcBorders>
              <w:top w:val="single" w:sz="6" w:space="0" w:color="000000"/>
              <w:left w:val="single" w:sz="6" w:space="0" w:color="000000"/>
              <w:bottom w:val="single" w:sz="6" w:space="0" w:color="000000"/>
              <w:right w:val="single" w:sz="6" w:space="0" w:color="000000"/>
            </w:tcBorders>
            <w:shd w:val="clear" w:color="auto" w:fill="FFFFFF"/>
          </w:tcPr>
          <w:p w:rsidR="00732E08" w:rsidRPr="00BF3EF0" w:rsidRDefault="00732E08" w:rsidP="00DF7B61">
            <w:pPr>
              <w:rPr>
                <w:rFonts w:ascii="Times New Roman" w:hAnsi="Times New Roman" w:cs="Times New Roman"/>
                <w:sz w:val="24"/>
                <w:szCs w:val="24"/>
              </w:rPr>
            </w:pPr>
            <w:r w:rsidRPr="00BF3EF0">
              <w:rPr>
                <w:rFonts w:ascii="Times New Roman" w:hAnsi="Times New Roman" w:cs="Times New Roman"/>
                <w:sz w:val="24"/>
                <w:szCs w:val="24"/>
              </w:rPr>
              <w:t>Котельня вул. Академіка Герасимовича, 2-а</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Академіка Герасимовича, 2-а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18.</w:t>
            </w:r>
          </w:p>
        </w:tc>
        <w:tc>
          <w:tcPr>
            <w:tcW w:w="5272" w:type="dxa"/>
            <w:tcBorders>
              <w:top w:val="single" w:sz="6" w:space="0" w:color="000000"/>
              <w:left w:val="single" w:sz="6" w:space="0" w:color="000000"/>
              <w:bottom w:val="single" w:sz="6" w:space="0" w:color="000000"/>
              <w:right w:val="single" w:sz="6" w:space="0" w:color="000000"/>
            </w:tcBorders>
            <w:shd w:val="clear" w:color="auto" w:fill="FFFFFF"/>
          </w:tcPr>
          <w:p w:rsidR="00732E08" w:rsidRPr="00BF3EF0" w:rsidRDefault="00732E08" w:rsidP="00DF7B61">
            <w:pPr>
              <w:rPr>
                <w:rFonts w:ascii="Times New Roman" w:hAnsi="Times New Roman" w:cs="Times New Roman"/>
                <w:sz w:val="24"/>
                <w:szCs w:val="24"/>
              </w:rPr>
            </w:pPr>
            <w:r w:rsidRPr="00BF3EF0">
              <w:rPr>
                <w:rFonts w:ascii="Times New Roman" w:hAnsi="Times New Roman" w:cs="Times New Roman"/>
                <w:sz w:val="24"/>
                <w:szCs w:val="24"/>
              </w:rPr>
              <w:t>Котельня Пологового будинку</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вул. Майора Борищака, 20/3</w:t>
            </w:r>
          </w:p>
        </w:tc>
      </w:tr>
      <w:tr w:rsidR="00732E08" w:rsidRPr="00BF3EF0">
        <w:trPr>
          <w:trHeight w:val="288"/>
        </w:trPr>
        <w:tc>
          <w:tcPr>
            <w:tcW w:w="9654" w:type="dxa"/>
            <w:gridSpan w:val="3"/>
            <w:tcBorders>
              <w:top w:val="single" w:sz="6" w:space="0" w:color="000000"/>
              <w:left w:val="single" w:sz="6" w:space="0" w:color="000000"/>
              <w:bottom w:val="single" w:sz="6" w:space="0" w:color="000000"/>
              <w:right w:val="single" w:sz="6" w:space="0" w:color="000000"/>
            </w:tcBorders>
            <w:shd w:val="clear" w:color="auto" w:fill="FFFFFF"/>
          </w:tcPr>
          <w:p w:rsidR="00732E08" w:rsidRPr="00BF3EF0" w:rsidRDefault="00732E08" w:rsidP="001C2164">
            <w:pPr>
              <w:jc w:val="center"/>
              <w:rPr>
                <w:rFonts w:ascii="Times New Roman" w:hAnsi="Times New Roman" w:cs="Times New Roman"/>
                <w:sz w:val="24"/>
                <w:szCs w:val="24"/>
              </w:rPr>
            </w:pPr>
            <w:r w:rsidRPr="00BF3EF0">
              <w:rPr>
                <w:rFonts w:ascii="Times New Roman" w:hAnsi="Times New Roman" w:cs="Times New Roman"/>
                <w:sz w:val="24"/>
                <w:szCs w:val="24"/>
              </w:rPr>
              <w:t>Центральні теплові пункти</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176</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176 (вул. Маршала Говорова,      28 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2.</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4</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4 (вул. Василя Сухомлинського, 2-а)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3.</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74</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74 (пров. Зоряний, 2 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4.</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94</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633914">
            <w:pPr>
              <w:rPr>
                <w:rFonts w:ascii="Times New Roman" w:hAnsi="Times New Roman" w:cs="Times New Roman"/>
                <w:sz w:val="24"/>
                <w:szCs w:val="24"/>
              </w:rPr>
            </w:pPr>
            <w:r w:rsidRPr="00BF3EF0">
              <w:rPr>
                <w:rFonts w:ascii="Times New Roman" w:hAnsi="Times New Roman" w:cs="Times New Roman"/>
                <w:sz w:val="24"/>
                <w:szCs w:val="24"/>
              </w:rPr>
              <w:t>ЦТП 94 (вул. Лейтенанта Дніпрова, 60-а)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5.</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244</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244 (вул. Східна, 26-а)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6.</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248</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248 (вул. Республіканська, 87)</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7.</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18</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18 (вул. Київська, 91-Б)</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8.</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55-І</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55-1 (пров. О.Кошевого, 5-Б)</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9.</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55-ІІ</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55-2 (вул. Київська, 63-В)</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10.</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57-І</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57-1 (пров. Г. Бреста, 37-А)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11.</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57-ІІ</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57-2 (пров. Г. Бреста 71-А)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12.</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59</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59 (вул. В. Бойко, 23-А)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13.</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60</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60 (пров. Г.Бреста, 39)</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14.</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61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61 (вул. Г. Родімцева, 5-А)</w:t>
            </w:r>
          </w:p>
        </w:tc>
      </w:tr>
      <w:tr w:rsidR="00732E08" w:rsidRPr="00BF3EF0">
        <w:trPr>
          <w:trHeight w:val="50"/>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15.</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62</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633914">
            <w:pPr>
              <w:rPr>
                <w:rFonts w:ascii="Times New Roman" w:hAnsi="Times New Roman" w:cs="Times New Roman"/>
                <w:sz w:val="24"/>
                <w:szCs w:val="24"/>
              </w:rPr>
            </w:pPr>
            <w:r w:rsidRPr="00BF3EF0">
              <w:rPr>
                <w:rFonts w:ascii="Times New Roman" w:hAnsi="Times New Roman" w:cs="Times New Roman"/>
                <w:sz w:val="24"/>
                <w:szCs w:val="24"/>
              </w:rPr>
              <w:t>ЦТП 62 (вул. Вадима Пугачова,    15-А)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16.</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63</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63 (вул. Л. Толстого, 36)</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17.</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88</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633914">
            <w:pPr>
              <w:rPr>
                <w:rFonts w:ascii="Times New Roman" w:hAnsi="Times New Roman" w:cs="Times New Roman"/>
                <w:sz w:val="24"/>
                <w:szCs w:val="24"/>
              </w:rPr>
            </w:pPr>
            <w:r w:rsidRPr="00BF3EF0">
              <w:rPr>
                <w:rFonts w:ascii="Times New Roman" w:hAnsi="Times New Roman" w:cs="Times New Roman"/>
                <w:sz w:val="24"/>
                <w:szCs w:val="24"/>
              </w:rPr>
              <w:t>ЦТП 88 (вул. Небесної Сотні, 54-А)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18.</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95</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95 (пр. Лікаря  О.Богаєвського, 60/1)</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19.</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98</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98 (вул. Шевченка, 64-А)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20.</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100</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100 (вул. Лікаря  О.Богаєвського, 8-Б)</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21.</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101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101 (квартал 101, 1-А)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22.</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107</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107 (вул. Академіка Маслова, 15/4)</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23.</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108</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108 (вул. Івана Мазепи, 30-А)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24.</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109</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109 (вул. Софіївська, 66)</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25.</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113</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113 (вул. Івана Мазепи, 56)</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26.</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116</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116 (вул. Перемоги, 3-Б)</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27.</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117</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117 (бул. Пушкіна, 13-А)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28.</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119</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119 (вул. Першотравнева, 31/6)</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29.</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121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121 (вул. Гагаріна, 14-А)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30.</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123</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123 (вул. Генерала Жадова,             5 -А)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31.</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130</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130 (вул. Гагаріна,13-А)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32.</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134-1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134-1 (вул. Європейська, 41-В)</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33.</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274</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274 (кв.274, 8-А)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34.</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278</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278 (кв. 278, 7-В)</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35.</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284-286</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284-286 (вул. Керченська, 3-Б)</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36.</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287</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287 (кв.287,19-А)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37.</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288</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288 (просп. Лесі Українки,             72-А)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38.</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289-І</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633914">
            <w:pPr>
              <w:rPr>
                <w:rFonts w:ascii="Times New Roman" w:hAnsi="Times New Roman" w:cs="Times New Roman"/>
                <w:sz w:val="24"/>
                <w:szCs w:val="24"/>
              </w:rPr>
            </w:pPr>
            <w:r w:rsidRPr="00BF3EF0">
              <w:rPr>
                <w:rFonts w:ascii="Times New Roman" w:hAnsi="Times New Roman" w:cs="Times New Roman"/>
                <w:sz w:val="24"/>
                <w:szCs w:val="24"/>
              </w:rPr>
              <w:t>ЦТП 289-1 (вул. Героїв України,               13-А)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39.</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289-ІІ</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289-2 (вул. В. Інтернаціоналістів, 5-А)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40.</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290</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290 (пр. Лесі Українка, 36-А)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41.</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291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291 (вул. Тараса Бульба, 9-А)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42.</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292</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292 (вул. Молодіжна, 17-А)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43.</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293</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293 (пров. Тецівський, 8-А)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44.</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297</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297 (вул. Молодіжна, 2-Б)</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45.</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304</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304 (вул. Олексія Древаля,              87-А)</w:t>
            </w:r>
          </w:p>
        </w:tc>
      </w:tr>
      <w:tr w:rsidR="00732E08" w:rsidRPr="00BF3EF0">
        <w:trPr>
          <w:trHeight w:val="288"/>
        </w:trPr>
        <w:tc>
          <w:tcPr>
            <w:tcW w:w="555" w:type="dxa"/>
            <w:tcBorders>
              <w:top w:val="single" w:sz="6" w:space="0" w:color="000000"/>
              <w:left w:val="single" w:sz="6" w:space="0" w:color="000000"/>
              <w:bottom w:val="single" w:sz="6" w:space="0" w:color="000000"/>
              <w:right w:val="single" w:sz="6" w:space="0" w:color="000000"/>
            </w:tcBorders>
            <w:shd w:val="clear" w:color="auto" w:fill="FFFFFF"/>
          </w:tcPr>
          <w:p w:rsidR="00732E08" w:rsidRPr="001C2164" w:rsidRDefault="00732E08" w:rsidP="001C2164">
            <w:pPr>
              <w:suppressAutoHyphens/>
              <w:spacing w:after="0" w:line="240" w:lineRule="auto"/>
              <w:jc w:val="center"/>
              <w:rPr>
                <w:rFonts w:ascii="Times New Roman" w:hAnsi="Times New Roman" w:cs="Times New Roman"/>
                <w:color w:val="000000"/>
                <w:sz w:val="24"/>
                <w:szCs w:val="24"/>
                <w:lang w:eastAsia="ru-RU"/>
              </w:rPr>
            </w:pPr>
            <w:r w:rsidRPr="001C2164">
              <w:rPr>
                <w:rFonts w:ascii="Times New Roman" w:hAnsi="Times New Roman" w:cs="Times New Roman"/>
                <w:color w:val="000000"/>
                <w:sz w:val="24"/>
                <w:szCs w:val="24"/>
                <w:lang w:eastAsia="ru-RU"/>
              </w:rPr>
              <w:t>46.</w:t>
            </w:r>
          </w:p>
        </w:tc>
        <w:tc>
          <w:tcPr>
            <w:tcW w:w="527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jc w:val="center"/>
              <w:rPr>
                <w:rFonts w:ascii="Times New Roman" w:hAnsi="Times New Roman" w:cs="Times New Roman"/>
                <w:sz w:val="24"/>
                <w:szCs w:val="24"/>
              </w:rPr>
            </w:pPr>
            <w:r w:rsidRPr="00BF3EF0">
              <w:rPr>
                <w:rFonts w:ascii="Times New Roman" w:hAnsi="Times New Roman" w:cs="Times New Roman"/>
                <w:sz w:val="24"/>
                <w:szCs w:val="24"/>
              </w:rPr>
              <w:t>305</w:t>
            </w:r>
          </w:p>
        </w:tc>
        <w:tc>
          <w:tcPr>
            <w:tcW w:w="382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32E08" w:rsidRPr="00BF3EF0" w:rsidRDefault="00732E08" w:rsidP="00DE5577">
            <w:pPr>
              <w:rPr>
                <w:rFonts w:ascii="Times New Roman" w:hAnsi="Times New Roman" w:cs="Times New Roman"/>
                <w:sz w:val="24"/>
                <w:szCs w:val="24"/>
              </w:rPr>
            </w:pPr>
            <w:r w:rsidRPr="00BF3EF0">
              <w:rPr>
                <w:rFonts w:ascii="Times New Roman" w:hAnsi="Times New Roman" w:cs="Times New Roman"/>
                <w:sz w:val="24"/>
                <w:szCs w:val="24"/>
              </w:rPr>
              <w:t>ЦТП 305 (вул.  Олексія Древаля,          25-Б)</w:t>
            </w:r>
          </w:p>
        </w:tc>
      </w:tr>
    </w:tbl>
    <w:p w:rsidR="00732E08" w:rsidRPr="001C2164" w:rsidRDefault="00732E08" w:rsidP="00A2590B">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xml:space="preserve">На теперішній час нормативний строк служби теплових мереж визначено на рівні 25 років. Цим же часовим проміжком визначено і строк повної амортизації обладнання інженерних мереж, але в багатьох випадках він не відповідає реальному експлуатаційному ресурсу інженерних мереж трубопроводів. </w:t>
      </w:r>
    </w:p>
    <w:p w:rsidR="00732E08" w:rsidRPr="001C2164" w:rsidRDefault="00732E08" w:rsidP="00A2590B">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Зниженню нормативного строку служби сприяє наявність цілого ряду факторів, які прискорюють процеси корозійного зносу                            трубопроводів: ґрунтові води, висока корозійна активність ґрунту, наявність великої кількості супутніх підземних комунікацій. Це призводить, у кінцевому результаті, до прискорення руйнування інженерних мереж.</w:t>
      </w:r>
    </w:p>
    <w:p w:rsidR="00732E08" w:rsidRPr="001C2164" w:rsidRDefault="00732E08" w:rsidP="00D55CB4">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xml:space="preserve">Для сталого забезпечення споживачів послугами по гарячому водопостачання та теплопостачанню необхідно здійснити заміну більше 28 км інженерних мереж трубопроводів. Коштів на реконструкцію та капітальний ремонт у підприємства не вистачає. Тому,  Програма заміни аварійних ділянок інженерних мереж гарячого водопостачання та теплопостачання                               КП  «Теплоенерго»  розрахована на три роки, впродовж яких надійність системи теплозабезпечення та гарячого водопостачання буде поступово збільшуватися. </w:t>
      </w:r>
    </w:p>
    <w:p w:rsidR="00732E08" w:rsidRPr="001C2164" w:rsidRDefault="00732E08" w:rsidP="009D6C83">
      <w:pPr>
        <w:spacing w:after="0"/>
        <w:ind w:firstLine="708"/>
        <w:jc w:val="both"/>
        <w:rPr>
          <w:rFonts w:ascii="Times New Roman" w:hAnsi="Times New Roman" w:cs="Times New Roman"/>
          <w:b/>
          <w:bCs/>
          <w:sz w:val="28"/>
          <w:szCs w:val="28"/>
        </w:rPr>
      </w:pPr>
      <w:r w:rsidRPr="001C2164">
        <w:rPr>
          <w:rFonts w:ascii="Times New Roman" w:hAnsi="Times New Roman" w:cs="Times New Roman"/>
          <w:b/>
          <w:bCs/>
          <w:sz w:val="28"/>
          <w:szCs w:val="28"/>
        </w:rPr>
        <w:t>ІІ. Мета, основні завдання та шляхи реалізації завдань Програми.</w:t>
      </w:r>
    </w:p>
    <w:p w:rsidR="00732E08" w:rsidRPr="001C2164" w:rsidRDefault="00732E08" w:rsidP="009D6C83">
      <w:pPr>
        <w:spacing w:after="0"/>
        <w:ind w:firstLine="708"/>
        <w:jc w:val="both"/>
        <w:rPr>
          <w:rFonts w:ascii="Times New Roman" w:hAnsi="Times New Roman" w:cs="Times New Roman"/>
          <w:b/>
          <w:bCs/>
          <w:sz w:val="28"/>
          <w:szCs w:val="28"/>
        </w:rPr>
      </w:pPr>
      <w:r w:rsidRPr="001C2164">
        <w:rPr>
          <w:rFonts w:ascii="Times New Roman" w:hAnsi="Times New Roman" w:cs="Times New Roman"/>
          <w:b/>
          <w:bCs/>
          <w:sz w:val="28"/>
          <w:szCs w:val="28"/>
        </w:rPr>
        <w:t>2.1. Мета.</w:t>
      </w:r>
    </w:p>
    <w:p w:rsidR="00732E08" w:rsidRPr="001C2164" w:rsidRDefault="00732E08" w:rsidP="009D6C83">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Збільшити надійність системи теплозабезпечення та гарячого водопостачання. Забезпечити поступову заміну аварійних ділянок інженерних мереж для зменшення кількості аварійних ситуацій. Подовження строку експлуатації інженерних мереж.</w:t>
      </w:r>
    </w:p>
    <w:p w:rsidR="00732E08" w:rsidRPr="001C2164" w:rsidRDefault="00732E08" w:rsidP="009D6C83">
      <w:pPr>
        <w:spacing w:after="0"/>
        <w:ind w:firstLine="708"/>
        <w:jc w:val="both"/>
        <w:rPr>
          <w:rFonts w:ascii="Times New Roman" w:hAnsi="Times New Roman" w:cs="Times New Roman"/>
          <w:b/>
          <w:bCs/>
          <w:sz w:val="28"/>
          <w:szCs w:val="28"/>
        </w:rPr>
      </w:pPr>
      <w:r w:rsidRPr="001C2164">
        <w:rPr>
          <w:rFonts w:ascii="Times New Roman" w:hAnsi="Times New Roman" w:cs="Times New Roman"/>
          <w:b/>
          <w:bCs/>
          <w:sz w:val="28"/>
          <w:szCs w:val="28"/>
        </w:rPr>
        <w:t>2.2. Напрями діяльності, завдання та заходи.</w:t>
      </w:r>
    </w:p>
    <w:p w:rsidR="00732E08" w:rsidRPr="001C2164" w:rsidRDefault="00732E08" w:rsidP="0050176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xml:space="preserve">Планування робіт по заміні аварійних ділянок інженерних мереж теплопостачання та гарячого водопостачання КП «Теплоенерго» передбачає вирішення оптимізаційного завдання, </w:t>
      </w:r>
      <w:r>
        <w:rPr>
          <w:rFonts w:ascii="Times New Roman" w:hAnsi="Times New Roman" w:cs="Times New Roman"/>
          <w:sz w:val="28"/>
          <w:szCs w:val="28"/>
        </w:rPr>
        <w:t>а саме:</w:t>
      </w:r>
      <w:r w:rsidRPr="001C2164">
        <w:rPr>
          <w:rFonts w:ascii="Times New Roman" w:hAnsi="Times New Roman" w:cs="Times New Roman"/>
          <w:sz w:val="28"/>
          <w:szCs w:val="28"/>
        </w:rPr>
        <w:t xml:space="preserve"> спрямувати виділені кошти на ланки інженерних мереж, які на теперішній час знаходяться в критичному стані.</w:t>
      </w:r>
      <w:bookmarkStart w:id="0" w:name="_GoBack"/>
      <w:bookmarkEnd w:id="0"/>
    </w:p>
    <w:p w:rsidR="00732E08" w:rsidRPr="001C2164" w:rsidRDefault="00732E08" w:rsidP="0050176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В першу чергу враховували стан теплових мереж: чим більше ступень фізичного зносу, тим вищий пріоритет, який визначає терміновість проведення заміни інженерної мережі. З достатнім ступенем достовірності оцінювався фізичний знос трубопроводів по непрямим ознакам: строк експлуатації, питома пошкоджуваність, наявність шкідливих факторів, які сприяють прискореному корозійному ефекту. Також враховувалося принципи мінімізації економічного збитку та негативних соціальних наслідків, які пов’язані з аварійними ситуаціями на теплових мережах.</w:t>
      </w:r>
    </w:p>
    <w:p w:rsidR="00732E08" w:rsidRPr="001C2164" w:rsidRDefault="00732E08" w:rsidP="0050176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xml:space="preserve">Таким чином, вибір ділянок, які включені до Програми заміни інженерних мереж гарячого водопостачання та теплопостачання на                          2019-2021 роки, приймався відповідальними працівниками Підприємства на підставі </w:t>
      </w:r>
      <w:r>
        <w:rPr>
          <w:rFonts w:ascii="Times New Roman" w:hAnsi="Times New Roman" w:cs="Times New Roman"/>
          <w:sz w:val="28"/>
          <w:szCs w:val="28"/>
        </w:rPr>
        <w:t>наступних</w:t>
      </w:r>
      <w:r w:rsidRPr="001C2164">
        <w:rPr>
          <w:rFonts w:ascii="Times New Roman" w:hAnsi="Times New Roman" w:cs="Times New Roman"/>
          <w:sz w:val="28"/>
          <w:szCs w:val="28"/>
        </w:rPr>
        <w:t xml:space="preserve"> факторів:</w:t>
      </w:r>
    </w:p>
    <w:p w:rsidR="00732E08" w:rsidRPr="001C2164" w:rsidRDefault="00732E08" w:rsidP="0050176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w:t>
      </w:r>
      <w:r w:rsidRPr="001C2164">
        <w:rPr>
          <w:rFonts w:ascii="Times New Roman" w:hAnsi="Times New Roman" w:cs="Times New Roman"/>
          <w:sz w:val="28"/>
          <w:szCs w:val="28"/>
        </w:rPr>
        <w:tab/>
        <w:t>строк експлуатації трубопроводів;</w:t>
      </w:r>
    </w:p>
    <w:p w:rsidR="00732E08" w:rsidRPr="001C2164" w:rsidRDefault="00732E08" w:rsidP="0050176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w:t>
      </w:r>
      <w:r w:rsidRPr="001C2164">
        <w:rPr>
          <w:rFonts w:ascii="Times New Roman" w:hAnsi="Times New Roman" w:cs="Times New Roman"/>
          <w:sz w:val="28"/>
          <w:szCs w:val="28"/>
        </w:rPr>
        <w:tab/>
        <w:t>питома пошкоджуваність трубопроводів;</w:t>
      </w:r>
    </w:p>
    <w:p w:rsidR="00732E08" w:rsidRPr="001C2164" w:rsidRDefault="00732E08" w:rsidP="0050176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w:t>
      </w:r>
      <w:r w:rsidRPr="001C2164">
        <w:rPr>
          <w:rFonts w:ascii="Times New Roman" w:hAnsi="Times New Roman" w:cs="Times New Roman"/>
          <w:sz w:val="28"/>
          <w:szCs w:val="28"/>
        </w:rPr>
        <w:tab/>
        <w:t>шкідливий вплив на інженерні мережі зовнішніх факторів які прискорюють корозійний знос трубопроводів;</w:t>
      </w:r>
    </w:p>
    <w:p w:rsidR="00732E08" w:rsidRPr="001C2164" w:rsidRDefault="00732E08" w:rsidP="0050176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w:t>
      </w:r>
      <w:r w:rsidRPr="001C2164">
        <w:rPr>
          <w:rFonts w:ascii="Times New Roman" w:hAnsi="Times New Roman" w:cs="Times New Roman"/>
          <w:sz w:val="28"/>
          <w:szCs w:val="28"/>
        </w:rPr>
        <w:tab/>
        <w:t>шкідливий вплив на трубопроводи гарячої води;</w:t>
      </w:r>
    </w:p>
    <w:p w:rsidR="00732E08" w:rsidRPr="001C2164" w:rsidRDefault="00732E08" w:rsidP="0050176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w:t>
      </w:r>
      <w:r w:rsidRPr="001C2164">
        <w:rPr>
          <w:rFonts w:ascii="Times New Roman" w:hAnsi="Times New Roman" w:cs="Times New Roman"/>
          <w:sz w:val="28"/>
          <w:szCs w:val="28"/>
        </w:rPr>
        <w:tab/>
        <w:t>технологічна важливість даної ділянки інженерної мережі, котра напряму зв’язана з кількістю прогнозуємого недопостачання теплової енергії та гарячої води при аварійному усуненні пошкоджень у зимовий період;</w:t>
      </w:r>
    </w:p>
    <w:p w:rsidR="00732E08" w:rsidRPr="001C2164" w:rsidRDefault="00732E08" w:rsidP="0050176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w:t>
      </w:r>
      <w:r w:rsidRPr="001C2164">
        <w:rPr>
          <w:rFonts w:ascii="Times New Roman" w:hAnsi="Times New Roman" w:cs="Times New Roman"/>
          <w:sz w:val="28"/>
          <w:szCs w:val="28"/>
        </w:rPr>
        <w:tab/>
        <w:t>соціальна важливість, яка визначається можливими соціально-економічними наслідками аварійних витоків з трубопроводів при виникненні дефектів (адресне розташування інженерної мережі);</w:t>
      </w:r>
    </w:p>
    <w:p w:rsidR="00732E08" w:rsidRPr="001C2164" w:rsidRDefault="00732E08" w:rsidP="0050176A">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Всі зазначені дані були опрацьовані та визначений перелік інженерних мереж, які підпадають під Програму. Також були визначені ділянки, які мають пр</w:t>
      </w:r>
      <w:r>
        <w:rPr>
          <w:rFonts w:ascii="Times New Roman" w:hAnsi="Times New Roman" w:cs="Times New Roman"/>
          <w:sz w:val="28"/>
          <w:szCs w:val="28"/>
        </w:rPr>
        <w:t>і</w:t>
      </w:r>
      <w:r w:rsidRPr="001C2164">
        <w:rPr>
          <w:rFonts w:ascii="Times New Roman" w:hAnsi="Times New Roman" w:cs="Times New Roman"/>
          <w:sz w:val="28"/>
          <w:szCs w:val="28"/>
        </w:rPr>
        <w:t>оритети по часу виконання</w:t>
      </w:r>
      <w:r>
        <w:rPr>
          <w:rFonts w:ascii="Times New Roman" w:hAnsi="Times New Roman" w:cs="Times New Roman"/>
          <w:sz w:val="28"/>
          <w:szCs w:val="28"/>
        </w:rPr>
        <w:t xml:space="preserve"> (</w:t>
      </w:r>
      <w:r w:rsidRPr="001C2164">
        <w:rPr>
          <w:rFonts w:ascii="Times New Roman" w:hAnsi="Times New Roman" w:cs="Times New Roman"/>
          <w:sz w:val="28"/>
          <w:szCs w:val="28"/>
        </w:rPr>
        <w:t>Додаток № 1 до Програми</w:t>
      </w:r>
      <w:r>
        <w:rPr>
          <w:rFonts w:ascii="Times New Roman" w:hAnsi="Times New Roman" w:cs="Times New Roman"/>
          <w:sz w:val="28"/>
          <w:szCs w:val="28"/>
        </w:rPr>
        <w:t>)</w:t>
      </w:r>
      <w:r w:rsidRPr="001C2164">
        <w:rPr>
          <w:rFonts w:ascii="Times New Roman" w:hAnsi="Times New Roman" w:cs="Times New Roman"/>
          <w:sz w:val="28"/>
          <w:szCs w:val="28"/>
        </w:rPr>
        <w:t>.</w:t>
      </w:r>
    </w:p>
    <w:p w:rsidR="00732E08" w:rsidRPr="001C2164" w:rsidRDefault="00732E08" w:rsidP="009D6C83">
      <w:pPr>
        <w:spacing w:after="0"/>
        <w:ind w:firstLine="708"/>
        <w:jc w:val="both"/>
        <w:rPr>
          <w:rFonts w:ascii="Times New Roman" w:hAnsi="Times New Roman" w:cs="Times New Roman"/>
          <w:b/>
          <w:bCs/>
          <w:sz w:val="28"/>
          <w:szCs w:val="28"/>
        </w:rPr>
      </w:pPr>
      <w:r w:rsidRPr="001C2164">
        <w:rPr>
          <w:rFonts w:ascii="Times New Roman" w:hAnsi="Times New Roman" w:cs="Times New Roman"/>
          <w:b/>
          <w:bCs/>
          <w:sz w:val="28"/>
          <w:szCs w:val="28"/>
        </w:rPr>
        <w:t>2.3. Очікувані результати, ефективність Програми.</w:t>
      </w:r>
    </w:p>
    <w:p w:rsidR="00732E08" w:rsidRPr="001C2164" w:rsidRDefault="00732E08" w:rsidP="0050176A">
      <w:pPr>
        <w:spacing w:after="0"/>
        <w:ind w:firstLine="708"/>
        <w:jc w:val="both"/>
        <w:rPr>
          <w:rFonts w:ascii="Times New Roman" w:hAnsi="Times New Roman" w:cs="Times New Roman"/>
          <w:color w:val="000000"/>
          <w:sz w:val="28"/>
          <w:szCs w:val="28"/>
        </w:rPr>
      </w:pPr>
      <w:r w:rsidRPr="001C2164">
        <w:rPr>
          <w:rFonts w:ascii="Times New Roman" w:hAnsi="Times New Roman" w:cs="Times New Roman"/>
          <w:color w:val="000000"/>
          <w:sz w:val="28"/>
          <w:szCs w:val="28"/>
        </w:rPr>
        <w:t>В ході виконання Програми очікується досягнення наступних показників:</w:t>
      </w:r>
    </w:p>
    <w:p w:rsidR="00732E08" w:rsidRPr="001C2164" w:rsidRDefault="00732E08" w:rsidP="0050176A">
      <w:pPr>
        <w:spacing w:after="0"/>
        <w:ind w:firstLine="708"/>
        <w:jc w:val="both"/>
        <w:rPr>
          <w:rFonts w:ascii="Times New Roman" w:hAnsi="Times New Roman" w:cs="Times New Roman"/>
          <w:color w:val="000000"/>
          <w:sz w:val="28"/>
          <w:szCs w:val="28"/>
        </w:rPr>
      </w:pPr>
      <w:r w:rsidRPr="001C2164">
        <w:rPr>
          <w:rFonts w:ascii="Times New Roman" w:hAnsi="Times New Roman" w:cs="Times New Roman"/>
          <w:color w:val="000000"/>
          <w:sz w:val="28"/>
          <w:szCs w:val="28"/>
        </w:rPr>
        <w:t>-</w:t>
      </w:r>
      <w:r w:rsidRPr="001C2164">
        <w:rPr>
          <w:rFonts w:ascii="Times New Roman" w:hAnsi="Times New Roman" w:cs="Times New Roman"/>
          <w:color w:val="FF0000"/>
          <w:sz w:val="28"/>
          <w:szCs w:val="28"/>
        </w:rPr>
        <w:t xml:space="preserve"> </w:t>
      </w:r>
      <w:r w:rsidRPr="001C2164">
        <w:rPr>
          <w:rFonts w:ascii="Times New Roman" w:hAnsi="Times New Roman" w:cs="Times New Roman"/>
          <w:color w:val="000000"/>
          <w:sz w:val="28"/>
          <w:szCs w:val="28"/>
        </w:rPr>
        <w:t xml:space="preserve">зменшення </w:t>
      </w:r>
      <w:r>
        <w:rPr>
          <w:rFonts w:ascii="Times New Roman" w:hAnsi="Times New Roman" w:cs="Times New Roman"/>
          <w:color w:val="000000"/>
          <w:sz w:val="28"/>
          <w:szCs w:val="28"/>
        </w:rPr>
        <w:t>кількості</w:t>
      </w:r>
      <w:r w:rsidRPr="001C2164">
        <w:rPr>
          <w:rFonts w:ascii="Times New Roman" w:hAnsi="Times New Roman" w:cs="Times New Roman"/>
          <w:color w:val="000000"/>
          <w:sz w:val="28"/>
          <w:szCs w:val="28"/>
        </w:rPr>
        <w:t xml:space="preserve"> аварійних ділянок інженерних мереж те</w:t>
      </w:r>
      <w:r>
        <w:rPr>
          <w:rFonts w:ascii="Times New Roman" w:hAnsi="Times New Roman" w:cs="Times New Roman"/>
          <w:color w:val="000000"/>
          <w:sz w:val="28"/>
          <w:szCs w:val="28"/>
        </w:rPr>
        <w:t>пло</w:t>
      </w:r>
      <w:r w:rsidRPr="001C2164">
        <w:rPr>
          <w:rFonts w:ascii="Times New Roman" w:hAnsi="Times New Roman" w:cs="Times New Roman"/>
          <w:color w:val="000000"/>
          <w:sz w:val="28"/>
          <w:szCs w:val="28"/>
        </w:rPr>
        <w:t>постачання та гарячого водопостачання;</w:t>
      </w:r>
    </w:p>
    <w:p w:rsidR="00732E08" w:rsidRPr="001C2164" w:rsidRDefault="00732E08" w:rsidP="0050176A">
      <w:pPr>
        <w:spacing w:after="0"/>
        <w:ind w:firstLine="708"/>
        <w:jc w:val="both"/>
        <w:rPr>
          <w:rFonts w:ascii="Times New Roman" w:hAnsi="Times New Roman" w:cs="Times New Roman"/>
          <w:color w:val="000000"/>
          <w:sz w:val="28"/>
          <w:szCs w:val="28"/>
        </w:rPr>
      </w:pPr>
      <w:r w:rsidRPr="001C2164">
        <w:rPr>
          <w:rFonts w:ascii="Times New Roman" w:hAnsi="Times New Roman" w:cs="Times New Roman"/>
          <w:color w:val="000000"/>
          <w:sz w:val="28"/>
          <w:szCs w:val="28"/>
        </w:rPr>
        <w:t>- збільшення терміну придатності інженерних мереж гарячого водопостачання та теплопостачання за рахунок виконання робіт із заміни аварійних ділянок;</w:t>
      </w:r>
    </w:p>
    <w:p w:rsidR="00732E08" w:rsidRPr="001C2164" w:rsidRDefault="00732E08" w:rsidP="0050176A">
      <w:pPr>
        <w:spacing w:after="0"/>
        <w:ind w:firstLine="708"/>
        <w:jc w:val="both"/>
        <w:rPr>
          <w:rFonts w:ascii="Times New Roman" w:hAnsi="Times New Roman" w:cs="Times New Roman"/>
          <w:color w:val="000000"/>
          <w:sz w:val="28"/>
          <w:szCs w:val="28"/>
        </w:rPr>
      </w:pPr>
      <w:r w:rsidRPr="001C2164">
        <w:rPr>
          <w:rFonts w:ascii="Times New Roman" w:hAnsi="Times New Roman" w:cs="Times New Roman"/>
          <w:color w:val="000000"/>
          <w:sz w:val="28"/>
          <w:szCs w:val="28"/>
        </w:rPr>
        <w:t>- показник питомих витрат паливно-енергетичних ресурсів</w:t>
      </w:r>
      <w:r>
        <w:rPr>
          <w:rFonts w:ascii="Times New Roman" w:hAnsi="Times New Roman" w:cs="Times New Roman"/>
          <w:color w:val="000000"/>
          <w:sz w:val="28"/>
          <w:szCs w:val="28"/>
        </w:rPr>
        <w:t>;</w:t>
      </w:r>
    </w:p>
    <w:p w:rsidR="00732E08" w:rsidRPr="001C2164" w:rsidRDefault="00732E08" w:rsidP="0050176A">
      <w:pPr>
        <w:spacing w:after="0"/>
        <w:ind w:firstLine="708"/>
        <w:jc w:val="both"/>
        <w:rPr>
          <w:rFonts w:ascii="Times New Roman" w:hAnsi="Times New Roman" w:cs="Times New Roman"/>
          <w:color w:val="000000"/>
          <w:sz w:val="28"/>
          <w:szCs w:val="28"/>
        </w:rPr>
      </w:pPr>
      <w:r w:rsidRPr="001C2164">
        <w:rPr>
          <w:rFonts w:ascii="Times New Roman" w:hAnsi="Times New Roman" w:cs="Times New Roman"/>
          <w:color w:val="000000"/>
          <w:sz w:val="28"/>
          <w:szCs w:val="28"/>
        </w:rPr>
        <w:t>- зменшення аварійних виїздів та аварійно-відновлювальних робіт після заміни мереж;</w:t>
      </w:r>
    </w:p>
    <w:p w:rsidR="00732E08" w:rsidRPr="001C2164" w:rsidRDefault="00732E08" w:rsidP="0050176A">
      <w:pPr>
        <w:spacing w:after="0"/>
        <w:ind w:firstLine="708"/>
        <w:jc w:val="both"/>
        <w:rPr>
          <w:rFonts w:ascii="Times New Roman" w:hAnsi="Times New Roman" w:cs="Times New Roman"/>
          <w:color w:val="000000"/>
          <w:sz w:val="28"/>
          <w:szCs w:val="28"/>
        </w:rPr>
      </w:pPr>
      <w:r w:rsidRPr="001C2164">
        <w:rPr>
          <w:rFonts w:ascii="Times New Roman" w:hAnsi="Times New Roman" w:cs="Times New Roman"/>
          <w:color w:val="000000"/>
          <w:sz w:val="28"/>
          <w:szCs w:val="28"/>
        </w:rPr>
        <w:t xml:space="preserve">- зменшення втрат тепла в процентному відношенні по рокам реалізації </w:t>
      </w:r>
      <w:r>
        <w:rPr>
          <w:rFonts w:ascii="Times New Roman" w:hAnsi="Times New Roman" w:cs="Times New Roman"/>
          <w:color w:val="000000"/>
          <w:sz w:val="28"/>
          <w:szCs w:val="28"/>
        </w:rPr>
        <w:t>П</w:t>
      </w:r>
      <w:r w:rsidRPr="001C2164">
        <w:rPr>
          <w:rFonts w:ascii="Times New Roman" w:hAnsi="Times New Roman" w:cs="Times New Roman"/>
          <w:color w:val="000000"/>
          <w:sz w:val="28"/>
          <w:szCs w:val="28"/>
        </w:rPr>
        <w:t>рограми.</w:t>
      </w:r>
    </w:p>
    <w:p w:rsidR="00732E08" w:rsidRPr="001C2164" w:rsidRDefault="00732E08" w:rsidP="0050176A">
      <w:pPr>
        <w:spacing w:after="0"/>
        <w:ind w:firstLine="708"/>
        <w:jc w:val="both"/>
        <w:rPr>
          <w:rFonts w:ascii="Times New Roman" w:hAnsi="Times New Roman" w:cs="Times New Roman"/>
          <w:color w:val="000000"/>
          <w:sz w:val="28"/>
          <w:szCs w:val="28"/>
        </w:rPr>
      </w:pPr>
      <w:r w:rsidRPr="001C2164">
        <w:rPr>
          <w:rFonts w:ascii="Times New Roman" w:hAnsi="Times New Roman" w:cs="Times New Roman"/>
          <w:color w:val="000000"/>
          <w:sz w:val="28"/>
          <w:szCs w:val="28"/>
        </w:rPr>
        <w:t>Виконання Програми в цілому спрямоване на покращення надання послуг центрального опалення та гарячого водопостачання населенню та підприємствам і установам м. Кременчука.</w:t>
      </w:r>
    </w:p>
    <w:p w:rsidR="00732E08" w:rsidRPr="001C2164" w:rsidRDefault="00732E08" w:rsidP="009D6C83">
      <w:pPr>
        <w:spacing w:after="0"/>
        <w:ind w:firstLine="708"/>
        <w:jc w:val="both"/>
        <w:rPr>
          <w:rFonts w:ascii="Times New Roman" w:hAnsi="Times New Roman" w:cs="Times New Roman"/>
          <w:b/>
          <w:bCs/>
          <w:sz w:val="28"/>
          <w:szCs w:val="28"/>
        </w:rPr>
      </w:pPr>
      <w:r w:rsidRPr="001C2164">
        <w:rPr>
          <w:rFonts w:ascii="Times New Roman" w:hAnsi="Times New Roman" w:cs="Times New Roman"/>
          <w:b/>
          <w:bCs/>
          <w:sz w:val="28"/>
          <w:szCs w:val="28"/>
        </w:rPr>
        <w:t>2.4. Ресурсне забезпечення Програми.</w:t>
      </w:r>
    </w:p>
    <w:p w:rsidR="00732E08" w:rsidRPr="001C2164" w:rsidRDefault="00732E08" w:rsidP="009D6C83">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Всі заходи Програми передбачені до реалізації протягом 2019-2021 років.</w:t>
      </w:r>
    </w:p>
    <w:p w:rsidR="00732E08" w:rsidRPr="001C2164" w:rsidRDefault="00732E08" w:rsidP="009D6C83">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Фінансування заходів Програми здійснюється в межах коштів, передбаченнях у бюджеті міста на відповідний рік за загальним та спеціальним фондами бюджету.</w:t>
      </w:r>
    </w:p>
    <w:p w:rsidR="00732E08" w:rsidRPr="001C2164" w:rsidRDefault="00732E08" w:rsidP="009D6C83">
      <w:pPr>
        <w:spacing w:after="0"/>
        <w:ind w:firstLine="708"/>
        <w:jc w:val="both"/>
        <w:rPr>
          <w:rFonts w:ascii="Times New Roman" w:hAnsi="Times New Roman" w:cs="Times New Roman"/>
          <w:sz w:val="28"/>
          <w:szCs w:val="28"/>
          <w:vertAlign w:val="superscript"/>
        </w:rPr>
      </w:pPr>
      <w:r w:rsidRPr="001C2164">
        <w:rPr>
          <w:rFonts w:ascii="Times New Roman" w:hAnsi="Times New Roman" w:cs="Times New Roman"/>
          <w:sz w:val="28"/>
          <w:szCs w:val="28"/>
        </w:rPr>
        <w:t>В цілому для реалізації Програми необхідно 47078,71 тис.грн.</w:t>
      </w:r>
      <w:r w:rsidRPr="001C2164">
        <w:rPr>
          <w:rFonts w:ascii="Times New Roman" w:hAnsi="Times New Roman" w:cs="Times New Roman"/>
          <w:sz w:val="28"/>
          <w:szCs w:val="28"/>
          <w:vertAlign w:val="superscript"/>
        </w:rPr>
        <w:t>*</w:t>
      </w:r>
    </w:p>
    <w:p w:rsidR="00732E08" w:rsidRPr="001C2164" w:rsidRDefault="00732E08" w:rsidP="009D6C83">
      <w:pPr>
        <w:spacing w:after="0"/>
        <w:ind w:firstLine="708"/>
        <w:jc w:val="both"/>
        <w:rPr>
          <w:rFonts w:ascii="Times New Roman" w:hAnsi="Times New Roman" w:cs="Times New Roman"/>
          <w:sz w:val="28"/>
          <w:szCs w:val="28"/>
          <w:vertAlign w:val="superscrip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9"/>
        <w:gridCol w:w="1761"/>
        <w:gridCol w:w="1417"/>
        <w:gridCol w:w="1418"/>
        <w:gridCol w:w="2014"/>
      </w:tblGrid>
      <w:tr w:rsidR="00732E08" w:rsidRPr="00BF3EF0">
        <w:trPr>
          <w:trHeight w:val="132"/>
        </w:trPr>
        <w:tc>
          <w:tcPr>
            <w:tcW w:w="3059" w:type="dxa"/>
            <w:vMerge w:val="restart"/>
          </w:tcPr>
          <w:p w:rsidR="00732E08" w:rsidRPr="00BF3EF0" w:rsidRDefault="00732E08" w:rsidP="00F21780">
            <w:pPr>
              <w:spacing w:after="0"/>
              <w:rPr>
                <w:rFonts w:ascii="Times New Roman" w:hAnsi="Times New Roman" w:cs="Times New Roman"/>
                <w:sz w:val="28"/>
                <w:szCs w:val="28"/>
              </w:rPr>
            </w:pPr>
            <w:r w:rsidRPr="00BF3EF0">
              <w:rPr>
                <w:rFonts w:ascii="Times New Roman" w:hAnsi="Times New Roman" w:cs="Times New Roman"/>
                <w:sz w:val="28"/>
                <w:szCs w:val="28"/>
              </w:rPr>
              <w:t>Обсяг коштів, які пропонується залучити на виконання програми</w:t>
            </w:r>
          </w:p>
        </w:tc>
        <w:tc>
          <w:tcPr>
            <w:tcW w:w="4596" w:type="dxa"/>
            <w:gridSpan w:val="3"/>
          </w:tcPr>
          <w:p w:rsidR="00732E08" w:rsidRPr="00BF3EF0" w:rsidRDefault="00732E08" w:rsidP="00F21780">
            <w:pPr>
              <w:spacing w:after="0"/>
              <w:rPr>
                <w:rFonts w:ascii="Times New Roman" w:hAnsi="Times New Roman" w:cs="Times New Roman"/>
                <w:sz w:val="28"/>
                <w:szCs w:val="28"/>
              </w:rPr>
            </w:pPr>
            <w:r w:rsidRPr="00BF3EF0">
              <w:rPr>
                <w:rFonts w:ascii="Times New Roman" w:hAnsi="Times New Roman" w:cs="Times New Roman"/>
                <w:sz w:val="28"/>
                <w:szCs w:val="28"/>
              </w:rPr>
              <w:t>Терміни виконання програми</w:t>
            </w:r>
          </w:p>
        </w:tc>
        <w:tc>
          <w:tcPr>
            <w:tcW w:w="2014" w:type="dxa"/>
            <w:vMerge w:val="restart"/>
          </w:tcPr>
          <w:p w:rsidR="00732E08" w:rsidRPr="00BF3EF0" w:rsidRDefault="00732E08" w:rsidP="00F21780">
            <w:pPr>
              <w:spacing w:after="0"/>
              <w:rPr>
                <w:rFonts w:ascii="Times New Roman" w:hAnsi="Times New Roman" w:cs="Times New Roman"/>
                <w:sz w:val="28"/>
                <w:szCs w:val="28"/>
              </w:rPr>
            </w:pPr>
            <w:r w:rsidRPr="00BF3EF0">
              <w:rPr>
                <w:rFonts w:ascii="Times New Roman" w:hAnsi="Times New Roman" w:cs="Times New Roman"/>
                <w:sz w:val="28"/>
                <w:szCs w:val="28"/>
              </w:rPr>
              <w:t>Усього витрат на виконання програми</w:t>
            </w:r>
          </w:p>
        </w:tc>
      </w:tr>
      <w:tr w:rsidR="00732E08" w:rsidRPr="00BF3EF0">
        <w:trPr>
          <w:trHeight w:val="958"/>
        </w:trPr>
        <w:tc>
          <w:tcPr>
            <w:tcW w:w="3059" w:type="dxa"/>
            <w:vMerge/>
          </w:tcPr>
          <w:p w:rsidR="00732E08" w:rsidRPr="00BF3EF0" w:rsidRDefault="00732E08" w:rsidP="00DC5222">
            <w:pPr>
              <w:spacing w:after="0"/>
              <w:ind w:firstLine="708"/>
              <w:jc w:val="both"/>
              <w:rPr>
                <w:rFonts w:ascii="Times New Roman" w:hAnsi="Times New Roman" w:cs="Times New Roman"/>
                <w:sz w:val="28"/>
                <w:szCs w:val="28"/>
              </w:rPr>
            </w:pPr>
          </w:p>
        </w:tc>
        <w:tc>
          <w:tcPr>
            <w:tcW w:w="1761" w:type="dxa"/>
          </w:tcPr>
          <w:p w:rsidR="00732E08" w:rsidRPr="00BF3EF0" w:rsidRDefault="00732E08" w:rsidP="00F21780">
            <w:pPr>
              <w:spacing w:after="0"/>
              <w:jc w:val="both"/>
              <w:rPr>
                <w:rFonts w:ascii="Times New Roman" w:hAnsi="Times New Roman" w:cs="Times New Roman"/>
                <w:sz w:val="28"/>
                <w:szCs w:val="28"/>
              </w:rPr>
            </w:pPr>
            <w:r w:rsidRPr="00BF3EF0">
              <w:rPr>
                <w:rFonts w:ascii="Times New Roman" w:hAnsi="Times New Roman" w:cs="Times New Roman"/>
                <w:sz w:val="28"/>
                <w:szCs w:val="28"/>
              </w:rPr>
              <w:t>2019 рік</w:t>
            </w:r>
          </w:p>
        </w:tc>
        <w:tc>
          <w:tcPr>
            <w:tcW w:w="1417" w:type="dxa"/>
          </w:tcPr>
          <w:p w:rsidR="00732E08" w:rsidRPr="00BF3EF0" w:rsidRDefault="00732E08" w:rsidP="00F21780">
            <w:pPr>
              <w:spacing w:after="0"/>
              <w:jc w:val="both"/>
              <w:rPr>
                <w:rFonts w:ascii="Times New Roman" w:hAnsi="Times New Roman" w:cs="Times New Roman"/>
                <w:sz w:val="28"/>
                <w:szCs w:val="28"/>
              </w:rPr>
            </w:pPr>
            <w:r w:rsidRPr="00BF3EF0">
              <w:rPr>
                <w:rFonts w:ascii="Times New Roman" w:hAnsi="Times New Roman" w:cs="Times New Roman"/>
                <w:sz w:val="28"/>
                <w:szCs w:val="28"/>
              </w:rPr>
              <w:t>2020 рік</w:t>
            </w:r>
          </w:p>
        </w:tc>
        <w:tc>
          <w:tcPr>
            <w:tcW w:w="1418" w:type="dxa"/>
          </w:tcPr>
          <w:p w:rsidR="00732E08" w:rsidRPr="00BF3EF0" w:rsidRDefault="00732E08" w:rsidP="00F21780">
            <w:pPr>
              <w:spacing w:after="0"/>
              <w:jc w:val="both"/>
              <w:rPr>
                <w:rFonts w:ascii="Times New Roman" w:hAnsi="Times New Roman" w:cs="Times New Roman"/>
                <w:sz w:val="28"/>
                <w:szCs w:val="28"/>
              </w:rPr>
            </w:pPr>
            <w:r w:rsidRPr="00BF3EF0">
              <w:rPr>
                <w:rFonts w:ascii="Times New Roman" w:hAnsi="Times New Roman" w:cs="Times New Roman"/>
                <w:sz w:val="28"/>
                <w:szCs w:val="28"/>
              </w:rPr>
              <w:t xml:space="preserve">2021 рік </w:t>
            </w:r>
          </w:p>
        </w:tc>
        <w:tc>
          <w:tcPr>
            <w:tcW w:w="2014" w:type="dxa"/>
            <w:vMerge/>
          </w:tcPr>
          <w:p w:rsidR="00732E08" w:rsidRPr="00BF3EF0" w:rsidRDefault="00732E08" w:rsidP="00DC5222">
            <w:pPr>
              <w:spacing w:after="0"/>
              <w:ind w:firstLine="708"/>
              <w:jc w:val="both"/>
              <w:rPr>
                <w:rFonts w:ascii="Times New Roman" w:hAnsi="Times New Roman" w:cs="Times New Roman"/>
                <w:sz w:val="28"/>
                <w:szCs w:val="28"/>
              </w:rPr>
            </w:pPr>
          </w:p>
        </w:tc>
      </w:tr>
      <w:tr w:rsidR="00732E08" w:rsidRPr="00BF3EF0">
        <w:trPr>
          <w:trHeight w:val="157"/>
        </w:trPr>
        <w:tc>
          <w:tcPr>
            <w:tcW w:w="3059" w:type="dxa"/>
          </w:tcPr>
          <w:p w:rsidR="00732E08" w:rsidRPr="00BF3EF0" w:rsidRDefault="00732E08" w:rsidP="00F21780">
            <w:pPr>
              <w:spacing w:after="0"/>
              <w:rPr>
                <w:rFonts w:ascii="Times New Roman" w:hAnsi="Times New Roman" w:cs="Times New Roman"/>
                <w:sz w:val="28"/>
                <w:szCs w:val="28"/>
              </w:rPr>
            </w:pPr>
            <w:r w:rsidRPr="00BF3EF0">
              <w:rPr>
                <w:rFonts w:ascii="Times New Roman" w:hAnsi="Times New Roman" w:cs="Times New Roman"/>
                <w:sz w:val="28"/>
                <w:szCs w:val="28"/>
              </w:rPr>
              <w:t xml:space="preserve">Заміна аварійних ділянок трубопроводів центрального опалення </w:t>
            </w:r>
          </w:p>
        </w:tc>
        <w:tc>
          <w:tcPr>
            <w:tcW w:w="1761" w:type="dxa"/>
          </w:tcPr>
          <w:p w:rsidR="00732E08" w:rsidRPr="00BF3EF0" w:rsidRDefault="00732E08" w:rsidP="00D80DCE">
            <w:pPr>
              <w:spacing w:after="0"/>
              <w:rPr>
                <w:rFonts w:ascii="Times New Roman" w:hAnsi="Times New Roman" w:cs="Times New Roman"/>
                <w:sz w:val="28"/>
                <w:szCs w:val="28"/>
              </w:rPr>
            </w:pPr>
            <w:r w:rsidRPr="00BF3EF0">
              <w:rPr>
                <w:rFonts w:ascii="Times New Roman" w:hAnsi="Times New Roman" w:cs="Times New Roman"/>
                <w:sz w:val="28"/>
                <w:szCs w:val="28"/>
              </w:rPr>
              <w:t>7631,10</w:t>
            </w:r>
          </w:p>
        </w:tc>
        <w:tc>
          <w:tcPr>
            <w:tcW w:w="1417" w:type="dxa"/>
          </w:tcPr>
          <w:p w:rsidR="00732E08" w:rsidRPr="00BF3EF0" w:rsidRDefault="00732E08" w:rsidP="00D80DCE">
            <w:pPr>
              <w:spacing w:after="0"/>
              <w:rPr>
                <w:rFonts w:ascii="Times New Roman" w:hAnsi="Times New Roman" w:cs="Times New Roman"/>
                <w:sz w:val="28"/>
                <w:szCs w:val="28"/>
              </w:rPr>
            </w:pPr>
            <w:r w:rsidRPr="00BF3EF0">
              <w:rPr>
                <w:rFonts w:ascii="Times New Roman" w:hAnsi="Times New Roman" w:cs="Times New Roman"/>
                <w:sz w:val="28"/>
                <w:szCs w:val="28"/>
              </w:rPr>
              <w:t>13617,28</w:t>
            </w:r>
          </w:p>
        </w:tc>
        <w:tc>
          <w:tcPr>
            <w:tcW w:w="1418" w:type="dxa"/>
          </w:tcPr>
          <w:p w:rsidR="00732E08" w:rsidRPr="00BF3EF0" w:rsidRDefault="00732E08" w:rsidP="00F21780">
            <w:pPr>
              <w:spacing w:after="0"/>
              <w:rPr>
                <w:rFonts w:ascii="Times New Roman" w:hAnsi="Times New Roman" w:cs="Times New Roman"/>
                <w:sz w:val="28"/>
                <w:szCs w:val="28"/>
              </w:rPr>
            </w:pPr>
            <w:r w:rsidRPr="00BF3EF0">
              <w:rPr>
                <w:rFonts w:ascii="Times New Roman" w:hAnsi="Times New Roman" w:cs="Times New Roman"/>
                <w:sz w:val="28"/>
                <w:szCs w:val="28"/>
              </w:rPr>
              <w:t>9942,05</w:t>
            </w:r>
          </w:p>
        </w:tc>
        <w:tc>
          <w:tcPr>
            <w:tcW w:w="2014" w:type="dxa"/>
          </w:tcPr>
          <w:p w:rsidR="00732E08" w:rsidRPr="00BF3EF0" w:rsidRDefault="00732E08" w:rsidP="00F21780">
            <w:pPr>
              <w:spacing w:after="0"/>
              <w:rPr>
                <w:rFonts w:ascii="Times New Roman" w:hAnsi="Times New Roman" w:cs="Times New Roman"/>
                <w:sz w:val="28"/>
                <w:szCs w:val="28"/>
              </w:rPr>
            </w:pPr>
            <w:r w:rsidRPr="00BF3EF0">
              <w:rPr>
                <w:rFonts w:ascii="Times New Roman" w:hAnsi="Times New Roman" w:cs="Times New Roman"/>
                <w:sz w:val="28"/>
                <w:szCs w:val="28"/>
              </w:rPr>
              <w:t>31190,43</w:t>
            </w:r>
          </w:p>
        </w:tc>
      </w:tr>
      <w:tr w:rsidR="00732E08" w:rsidRPr="00BF3EF0">
        <w:trPr>
          <w:trHeight w:val="846"/>
        </w:trPr>
        <w:tc>
          <w:tcPr>
            <w:tcW w:w="3059" w:type="dxa"/>
          </w:tcPr>
          <w:p w:rsidR="00732E08" w:rsidRPr="00BF3EF0" w:rsidRDefault="00732E08" w:rsidP="00F21780">
            <w:pPr>
              <w:spacing w:after="0"/>
              <w:rPr>
                <w:rFonts w:ascii="Times New Roman" w:hAnsi="Times New Roman" w:cs="Times New Roman"/>
                <w:sz w:val="28"/>
                <w:szCs w:val="28"/>
              </w:rPr>
            </w:pPr>
            <w:r w:rsidRPr="00BF3EF0">
              <w:rPr>
                <w:rFonts w:ascii="Times New Roman" w:hAnsi="Times New Roman" w:cs="Times New Roman"/>
                <w:sz w:val="28"/>
                <w:szCs w:val="28"/>
              </w:rPr>
              <w:t>Заміна аварійних ділянок гарячого водопостачання</w:t>
            </w:r>
          </w:p>
        </w:tc>
        <w:tc>
          <w:tcPr>
            <w:tcW w:w="1761" w:type="dxa"/>
          </w:tcPr>
          <w:p w:rsidR="00732E08" w:rsidRPr="00BF3EF0" w:rsidRDefault="00732E08" w:rsidP="00D80DCE">
            <w:pPr>
              <w:spacing w:after="0"/>
              <w:rPr>
                <w:rFonts w:ascii="Times New Roman" w:hAnsi="Times New Roman" w:cs="Times New Roman"/>
                <w:sz w:val="28"/>
                <w:szCs w:val="28"/>
              </w:rPr>
            </w:pPr>
            <w:r w:rsidRPr="00BF3EF0">
              <w:rPr>
                <w:rFonts w:ascii="Times New Roman" w:hAnsi="Times New Roman" w:cs="Times New Roman"/>
                <w:sz w:val="28"/>
                <w:szCs w:val="28"/>
              </w:rPr>
              <w:t>2335,14</w:t>
            </w:r>
          </w:p>
        </w:tc>
        <w:tc>
          <w:tcPr>
            <w:tcW w:w="1417" w:type="dxa"/>
          </w:tcPr>
          <w:p w:rsidR="00732E08" w:rsidRPr="00BF3EF0" w:rsidRDefault="00732E08" w:rsidP="00D80DCE">
            <w:pPr>
              <w:spacing w:after="0"/>
              <w:rPr>
                <w:rFonts w:ascii="Times New Roman" w:hAnsi="Times New Roman" w:cs="Times New Roman"/>
                <w:sz w:val="28"/>
                <w:szCs w:val="28"/>
              </w:rPr>
            </w:pPr>
            <w:r w:rsidRPr="00BF3EF0">
              <w:rPr>
                <w:rFonts w:ascii="Times New Roman" w:hAnsi="Times New Roman" w:cs="Times New Roman"/>
                <w:sz w:val="28"/>
                <w:szCs w:val="28"/>
              </w:rPr>
              <w:t>3709,34</w:t>
            </w:r>
          </w:p>
        </w:tc>
        <w:tc>
          <w:tcPr>
            <w:tcW w:w="1418" w:type="dxa"/>
          </w:tcPr>
          <w:p w:rsidR="00732E08" w:rsidRPr="00BF3EF0" w:rsidRDefault="00732E08" w:rsidP="008D73C5">
            <w:pPr>
              <w:spacing w:after="0"/>
              <w:rPr>
                <w:rFonts w:ascii="Times New Roman" w:hAnsi="Times New Roman" w:cs="Times New Roman"/>
                <w:sz w:val="28"/>
                <w:szCs w:val="28"/>
              </w:rPr>
            </w:pPr>
            <w:r w:rsidRPr="00BF3EF0">
              <w:rPr>
                <w:rFonts w:ascii="Times New Roman" w:hAnsi="Times New Roman" w:cs="Times New Roman"/>
                <w:sz w:val="28"/>
                <w:szCs w:val="28"/>
              </w:rPr>
              <w:t>9843,80</w:t>
            </w:r>
          </w:p>
        </w:tc>
        <w:tc>
          <w:tcPr>
            <w:tcW w:w="2014" w:type="dxa"/>
          </w:tcPr>
          <w:p w:rsidR="00732E08" w:rsidRPr="00BF3EF0" w:rsidRDefault="00732E08" w:rsidP="00870522">
            <w:pPr>
              <w:spacing w:after="0"/>
              <w:rPr>
                <w:rFonts w:ascii="Times New Roman" w:hAnsi="Times New Roman" w:cs="Times New Roman"/>
                <w:sz w:val="28"/>
                <w:szCs w:val="28"/>
              </w:rPr>
            </w:pPr>
            <w:r w:rsidRPr="00BF3EF0">
              <w:rPr>
                <w:rFonts w:ascii="Times New Roman" w:hAnsi="Times New Roman" w:cs="Times New Roman"/>
                <w:sz w:val="28"/>
                <w:szCs w:val="28"/>
              </w:rPr>
              <w:t>15888,28</w:t>
            </w:r>
          </w:p>
        </w:tc>
      </w:tr>
      <w:tr w:rsidR="00732E08" w:rsidRPr="00BF3EF0">
        <w:trPr>
          <w:trHeight w:val="200"/>
        </w:trPr>
        <w:tc>
          <w:tcPr>
            <w:tcW w:w="3059" w:type="dxa"/>
          </w:tcPr>
          <w:p w:rsidR="00732E08" w:rsidRPr="00BF3EF0" w:rsidRDefault="00732E08" w:rsidP="00DC5222">
            <w:pPr>
              <w:spacing w:after="0"/>
              <w:ind w:firstLine="708"/>
              <w:jc w:val="both"/>
              <w:rPr>
                <w:rFonts w:ascii="Times New Roman" w:hAnsi="Times New Roman" w:cs="Times New Roman"/>
                <w:sz w:val="28"/>
                <w:szCs w:val="28"/>
              </w:rPr>
            </w:pPr>
            <w:r w:rsidRPr="00BF3EF0">
              <w:rPr>
                <w:rFonts w:ascii="Times New Roman" w:hAnsi="Times New Roman" w:cs="Times New Roman"/>
                <w:sz w:val="28"/>
                <w:szCs w:val="28"/>
              </w:rPr>
              <w:t>всього:</w:t>
            </w:r>
          </w:p>
        </w:tc>
        <w:tc>
          <w:tcPr>
            <w:tcW w:w="1761" w:type="dxa"/>
          </w:tcPr>
          <w:p w:rsidR="00732E08" w:rsidRPr="00BF3EF0" w:rsidRDefault="00732E08" w:rsidP="00D80DCE">
            <w:pPr>
              <w:spacing w:after="0"/>
              <w:jc w:val="both"/>
              <w:rPr>
                <w:rFonts w:ascii="Times New Roman" w:hAnsi="Times New Roman" w:cs="Times New Roman"/>
                <w:sz w:val="28"/>
                <w:szCs w:val="28"/>
              </w:rPr>
            </w:pPr>
            <w:r w:rsidRPr="00BF3EF0">
              <w:rPr>
                <w:rFonts w:ascii="Times New Roman" w:hAnsi="Times New Roman" w:cs="Times New Roman"/>
                <w:sz w:val="28"/>
                <w:szCs w:val="28"/>
              </w:rPr>
              <w:t>9966,24</w:t>
            </w:r>
          </w:p>
        </w:tc>
        <w:tc>
          <w:tcPr>
            <w:tcW w:w="1417" w:type="dxa"/>
          </w:tcPr>
          <w:p w:rsidR="00732E08" w:rsidRPr="00BF3EF0" w:rsidRDefault="00732E08" w:rsidP="00D80DCE">
            <w:pPr>
              <w:spacing w:after="0"/>
              <w:jc w:val="both"/>
              <w:rPr>
                <w:rFonts w:ascii="Times New Roman" w:hAnsi="Times New Roman" w:cs="Times New Roman"/>
                <w:sz w:val="28"/>
                <w:szCs w:val="28"/>
              </w:rPr>
            </w:pPr>
            <w:r w:rsidRPr="00BF3EF0">
              <w:rPr>
                <w:rFonts w:ascii="Times New Roman" w:hAnsi="Times New Roman" w:cs="Times New Roman"/>
                <w:sz w:val="28"/>
                <w:szCs w:val="28"/>
              </w:rPr>
              <w:t>17326,62</w:t>
            </w:r>
          </w:p>
        </w:tc>
        <w:tc>
          <w:tcPr>
            <w:tcW w:w="1418" w:type="dxa"/>
          </w:tcPr>
          <w:p w:rsidR="00732E08" w:rsidRPr="00BF3EF0" w:rsidRDefault="00732E08" w:rsidP="00027A6E">
            <w:pPr>
              <w:spacing w:after="0"/>
              <w:jc w:val="both"/>
              <w:rPr>
                <w:rFonts w:ascii="Times New Roman" w:hAnsi="Times New Roman" w:cs="Times New Roman"/>
                <w:sz w:val="28"/>
                <w:szCs w:val="28"/>
              </w:rPr>
            </w:pPr>
            <w:r w:rsidRPr="00BF3EF0">
              <w:rPr>
                <w:rFonts w:ascii="Times New Roman" w:hAnsi="Times New Roman" w:cs="Times New Roman"/>
                <w:sz w:val="28"/>
                <w:szCs w:val="28"/>
              </w:rPr>
              <w:t>19785,85</w:t>
            </w:r>
          </w:p>
        </w:tc>
        <w:tc>
          <w:tcPr>
            <w:tcW w:w="2014" w:type="dxa"/>
          </w:tcPr>
          <w:p w:rsidR="00732E08" w:rsidRPr="00BF3EF0" w:rsidRDefault="00732E08" w:rsidP="00027A6E">
            <w:pPr>
              <w:spacing w:after="0"/>
              <w:jc w:val="both"/>
              <w:rPr>
                <w:rFonts w:ascii="Times New Roman" w:hAnsi="Times New Roman" w:cs="Times New Roman"/>
                <w:sz w:val="28"/>
                <w:szCs w:val="28"/>
              </w:rPr>
            </w:pPr>
            <w:r w:rsidRPr="00BF3EF0">
              <w:rPr>
                <w:rFonts w:ascii="Times New Roman" w:hAnsi="Times New Roman" w:cs="Times New Roman"/>
                <w:sz w:val="28"/>
                <w:szCs w:val="28"/>
              </w:rPr>
              <w:t>47078,71</w:t>
            </w:r>
          </w:p>
        </w:tc>
      </w:tr>
    </w:tbl>
    <w:p w:rsidR="00732E08" w:rsidRPr="001C2164" w:rsidRDefault="00732E08" w:rsidP="009D6C83">
      <w:pPr>
        <w:spacing w:after="0"/>
        <w:ind w:firstLine="708"/>
        <w:jc w:val="both"/>
        <w:rPr>
          <w:rFonts w:ascii="Times New Roman" w:hAnsi="Times New Roman" w:cs="Times New Roman"/>
          <w:sz w:val="28"/>
          <w:szCs w:val="28"/>
          <w:vertAlign w:val="superscript"/>
        </w:rPr>
      </w:pPr>
    </w:p>
    <w:p w:rsidR="00732E08" w:rsidRPr="001C2164" w:rsidRDefault="00732E08" w:rsidP="009D6C83">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*Обсяг коштів, які пропонуються залучити на виконання Програми застосовуються станом на 2018 рік, згідно специфікації договору №01/18ТПФ від 21.05.2018 року.</w:t>
      </w:r>
    </w:p>
    <w:p w:rsidR="00732E08" w:rsidRPr="001C2164" w:rsidRDefault="00732E08" w:rsidP="009D6C83">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В ході реалізації заходів Програми можливі корегування, пов’язані з фактичним надходженням коштів на реалізацію розділів Програми, уточненням обсягів робіт  виходячи з реальних можливостей бюджету, зміною ціни на матеріали (інфляційні ризики).</w:t>
      </w:r>
    </w:p>
    <w:p w:rsidR="00732E08" w:rsidRPr="001C2164" w:rsidRDefault="00732E08" w:rsidP="009D6C83">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Обсяги фінансування заходів Програми уточнюються при підготовці та винесенні на розгляд Кременчуцької міської ради проекту бюджету міста на відповідний рік.</w:t>
      </w:r>
    </w:p>
    <w:p w:rsidR="00732E08" w:rsidRPr="001C2164" w:rsidRDefault="00732E08" w:rsidP="009D6C83">
      <w:pPr>
        <w:spacing w:after="0"/>
        <w:ind w:firstLine="708"/>
        <w:jc w:val="both"/>
        <w:rPr>
          <w:rFonts w:ascii="Times New Roman" w:hAnsi="Times New Roman" w:cs="Times New Roman"/>
          <w:sz w:val="28"/>
          <w:szCs w:val="28"/>
        </w:rPr>
      </w:pPr>
      <w:r w:rsidRPr="001C2164">
        <w:rPr>
          <w:rFonts w:ascii="Times New Roman" w:hAnsi="Times New Roman" w:cs="Times New Roman"/>
          <w:b/>
          <w:bCs/>
          <w:sz w:val="28"/>
          <w:szCs w:val="28"/>
        </w:rPr>
        <w:t>ІІІ. Організація управління та контролю за ходом виконання Програми</w:t>
      </w:r>
      <w:r w:rsidRPr="001C2164">
        <w:rPr>
          <w:rFonts w:ascii="Times New Roman" w:hAnsi="Times New Roman" w:cs="Times New Roman"/>
          <w:sz w:val="28"/>
          <w:szCs w:val="28"/>
        </w:rPr>
        <w:t>.</w:t>
      </w:r>
    </w:p>
    <w:p w:rsidR="00732E08" w:rsidRPr="001C2164" w:rsidRDefault="00732E08" w:rsidP="00633914">
      <w:pPr>
        <w:spacing w:after="0"/>
        <w:ind w:firstLine="708"/>
        <w:jc w:val="both"/>
        <w:rPr>
          <w:rFonts w:ascii="Times New Roman" w:hAnsi="Times New Roman" w:cs="Times New Roman"/>
          <w:sz w:val="28"/>
          <w:szCs w:val="28"/>
        </w:rPr>
      </w:pPr>
      <w:r w:rsidRPr="001C2164">
        <w:rPr>
          <w:rFonts w:ascii="Times New Roman" w:hAnsi="Times New Roman" w:cs="Times New Roman"/>
          <w:sz w:val="28"/>
          <w:szCs w:val="28"/>
        </w:rPr>
        <w:t xml:space="preserve">Департамент  житлово-комунального господарства виконавчого комітету Кременчуцької міської ради здійснює організацію, управління та внутрішній контроль за ходом виконання </w:t>
      </w:r>
      <w:r>
        <w:rPr>
          <w:rFonts w:ascii="Times New Roman" w:hAnsi="Times New Roman" w:cs="Times New Roman"/>
          <w:sz w:val="28"/>
          <w:szCs w:val="28"/>
        </w:rPr>
        <w:t>П</w:t>
      </w:r>
      <w:r w:rsidRPr="001C2164">
        <w:rPr>
          <w:rFonts w:ascii="Times New Roman" w:hAnsi="Times New Roman" w:cs="Times New Roman"/>
          <w:sz w:val="28"/>
          <w:szCs w:val="28"/>
        </w:rPr>
        <w:t>рограми.</w:t>
      </w:r>
    </w:p>
    <w:sectPr w:rsidR="00732E08" w:rsidRPr="001C2164" w:rsidSect="00F0171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7294A"/>
    <w:multiLevelType w:val="hybridMultilevel"/>
    <w:tmpl w:val="7A0CBDE6"/>
    <w:lvl w:ilvl="0" w:tplc="04220001">
      <w:start w:val="1"/>
      <w:numFmt w:val="bullet"/>
      <w:lvlText w:val=""/>
      <w:lvlJc w:val="left"/>
      <w:pPr>
        <w:ind w:left="1428" w:hanging="360"/>
      </w:pPr>
      <w:rPr>
        <w:rFonts w:ascii="Symbol" w:hAnsi="Symbol" w:cs="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
    <w:nsid w:val="58A75279"/>
    <w:multiLevelType w:val="hybridMultilevel"/>
    <w:tmpl w:val="565466CA"/>
    <w:lvl w:ilvl="0" w:tplc="3D5C67E6">
      <w:start w:val="10"/>
      <w:numFmt w:val="bullet"/>
      <w:lvlText w:val=""/>
      <w:lvlJc w:val="left"/>
      <w:pPr>
        <w:ind w:left="1068" w:hanging="360"/>
      </w:pPr>
      <w:rPr>
        <w:rFonts w:ascii="Symbol" w:eastAsia="Times New Roman" w:hAnsi="Symbol"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cs="Wingdings" w:hint="default"/>
      </w:rPr>
    </w:lvl>
    <w:lvl w:ilvl="3" w:tplc="04220001">
      <w:start w:val="1"/>
      <w:numFmt w:val="bullet"/>
      <w:lvlText w:val=""/>
      <w:lvlJc w:val="left"/>
      <w:pPr>
        <w:ind w:left="3228" w:hanging="360"/>
      </w:pPr>
      <w:rPr>
        <w:rFonts w:ascii="Symbol" w:hAnsi="Symbol" w:cs="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cs="Wingdings" w:hint="default"/>
      </w:rPr>
    </w:lvl>
    <w:lvl w:ilvl="6" w:tplc="04220001">
      <w:start w:val="1"/>
      <w:numFmt w:val="bullet"/>
      <w:lvlText w:val=""/>
      <w:lvlJc w:val="left"/>
      <w:pPr>
        <w:ind w:left="5388" w:hanging="360"/>
      </w:pPr>
      <w:rPr>
        <w:rFonts w:ascii="Symbol" w:hAnsi="Symbol" w:cs="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15DB"/>
    <w:rsid w:val="00024B28"/>
    <w:rsid w:val="00024C0F"/>
    <w:rsid w:val="00027A6E"/>
    <w:rsid w:val="00040C76"/>
    <w:rsid w:val="00082629"/>
    <w:rsid w:val="000A5C6E"/>
    <w:rsid w:val="000B6EB2"/>
    <w:rsid w:val="000D0F3D"/>
    <w:rsid w:val="000D6BA8"/>
    <w:rsid w:val="00110A48"/>
    <w:rsid w:val="001414C8"/>
    <w:rsid w:val="001C12B3"/>
    <w:rsid w:val="001C2164"/>
    <w:rsid w:val="001E1A35"/>
    <w:rsid w:val="0021077A"/>
    <w:rsid w:val="00266768"/>
    <w:rsid w:val="002A6392"/>
    <w:rsid w:val="002C6D73"/>
    <w:rsid w:val="002C7C6C"/>
    <w:rsid w:val="00311A05"/>
    <w:rsid w:val="003248FE"/>
    <w:rsid w:val="00330141"/>
    <w:rsid w:val="00334AF1"/>
    <w:rsid w:val="004307B3"/>
    <w:rsid w:val="0043338C"/>
    <w:rsid w:val="0047607F"/>
    <w:rsid w:val="00476D19"/>
    <w:rsid w:val="004913C5"/>
    <w:rsid w:val="004B1813"/>
    <w:rsid w:val="004C6CC4"/>
    <w:rsid w:val="004D0152"/>
    <w:rsid w:val="004E15DB"/>
    <w:rsid w:val="004F7510"/>
    <w:rsid w:val="0050176A"/>
    <w:rsid w:val="005523AE"/>
    <w:rsid w:val="005749A0"/>
    <w:rsid w:val="005D5ACF"/>
    <w:rsid w:val="005F6045"/>
    <w:rsid w:val="00611F2D"/>
    <w:rsid w:val="00633914"/>
    <w:rsid w:val="00644CD0"/>
    <w:rsid w:val="006519CE"/>
    <w:rsid w:val="00681619"/>
    <w:rsid w:val="006F2F46"/>
    <w:rsid w:val="006F30BC"/>
    <w:rsid w:val="00732E08"/>
    <w:rsid w:val="00734925"/>
    <w:rsid w:val="00741CF1"/>
    <w:rsid w:val="00750636"/>
    <w:rsid w:val="00773378"/>
    <w:rsid w:val="00780FF4"/>
    <w:rsid w:val="00797C15"/>
    <w:rsid w:val="007C6E2F"/>
    <w:rsid w:val="008449F0"/>
    <w:rsid w:val="00870522"/>
    <w:rsid w:val="00870EEA"/>
    <w:rsid w:val="008D73C5"/>
    <w:rsid w:val="00942B8F"/>
    <w:rsid w:val="009545AC"/>
    <w:rsid w:val="00993E11"/>
    <w:rsid w:val="009B5F6C"/>
    <w:rsid w:val="009D6C83"/>
    <w:rsid w:val="009E59F0"/>
    <w:rsid w:val="009E5D73"/>
    <w:rsid w:val="00A2590B"/>
    <w:rsid w:val="00AC1DEA"/>
    <w:rsid w:val="00AC79A2"/>
    <w:rsid w:val="00AD0B85"/>
    <w:rsid w:val="00B304AB"/>
    <w:rsid w:val="00B5080E"/>
    <w:rsid w:val="00B54208"/>
    <w:rsid w:val="00BA779D"/>
    <w:rsid w:val="00BE542D"/>
    <w:rsid w:val="00BE79F7"/>
    <w:rsid w:val="00BF3EF0"/>
    <w:rsid w:val="00C90DDB"/>
    <w:rsid w:val="00CB202F"/>
    <w:rsid w:val="00CC5BE2"/>
    <w:rsid w:val="00CD71BB"/>
    <w:rsid w:val="00CF7AD6"/>
    <w:rsid w:val="00D3292B"/>
    <w:rsid w:val="00D475A7"/>
    <w:rsid w:val="00D55CB4"/>
    <w:rsid w:val="00D60FEF"/>
    <w:rsid w:val="00D80DCE"/>
    <w:rsid w:val="00D928E0"/>
    <w:rsid w:val="00DC0EF2"/>
    <w:rsid w:val="00DC5222"/>
    <w:rsid w:val="00DD0C65"/>
    <w:rsid w:val="00DE5577"/>
    <w:rsid w:val="00DF7B61"/>
    <w:rsid w:val="00E1520A"/>
    <w:rsid w:val="00E67B41"/>
    <w:rsid w:val="00E71544"/>
    <w:rsid w:val="00EA39A7"/>
    <w:rsid w:val="00F0095A"/>
    <w:rsid w:val="00F0171E"/>
    <w:rsid w:val="00F21780"/>
    <w:rsid w:val="00F61A30"/>
    <w:rsid w:val="00FC1F1D"/>
    <w:rsid w:val="00FE5409"/>
    <w:rsid w:val="00FE628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07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D0152"/>
    <w:pPr>
      <w:ind w:left="720"/>
    </w:pPr>
  </w:style>
  <w:style w:type="table" w:styleId="TableGrid">
    <w:name w:val="Table Grid"/>
    <w:basedOn w:val="TableNormal"/>
    <w:uiPriority w:val="99"/>
    <w:rsid w:val="006F2F4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E1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1A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1344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10701</Words>
  <Characters>6101</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TarifAdmin</dc:creator>
  <cp:keywords/>
  <dc:description/>
  <cp:lastModifiedBy>Plevako</cp:lastModifiedBy>
  <cp:revision>2</cp:revision>
  <cp:lastPrinted>2018-09-11T11:59:00Z</cp:lastPrinted>
  <dcterms:created xsi:type="dcterms:W3CDTF">2018-10-17T07:06:00Z</dcterms:created>
  <dcterms:modified xsi:type="dcterms:W3CDTF">2018-10-17T07:06:00Z</dcterms:modified>
</cp:coreProperties>
</file>