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B2" w:rsidRDefault="003D68B2" w:rsidP="003D68B2">
      <w:pPr>
        <w:ind w:left="510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3D68B2" w:rsidRDefault="003D68B2" w:rsidP="003D68B2">
      <w:pPr>
        <w:tabs>
          <w:tab w:val="left" w:pos="7200"/>
        </w:tabs>
        <w:ind w:left="510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до рішення міської ради  </w:t>
      </w:r>
    </w:p>
    <w:p w:rsidR="003D68B2" w:rsidRDefault="003D68B2" w:rsidP="003D68B2">
      <w:pPr>
        <w:tabs>
          <w:tab w:val="left" w:pos="7200"/>
        </w:tabs>
        <w:ind w:left="510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від 30.05.2018  </w:t>
      </w:r>
    </w:p>
    <w:p w:rsidR="003D68B2" w:rsidRDefault="003D68B2" w:rsidP="003D68B2">
      <w:pPr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  <w:t xml:space="preserve">  </w:t>
      </w:r>
    </w:p>
    <w:p w:rsidR="003D68B2" w:rsidRDefault="003D68B2" w:rsidP="003D68B2">
      <w:pPr>
        <w:jc w:val="center"/>
        <w:rPr>
          <w:b/>
          <w:sz w:val="28"/>
          <w:szCs w:val="28"/>
          <w:lang w:eastAsia="ru-RU"/>
        </w:rPr>
      </w:pPr>
    </w:p>
    <w:p w:rsidR="003D68B2" w:rsidRDefault="003D68B2" w:rsidP="003D68B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ПОЯСНЮВАЛЬНА ЗАПИСКА</w:t>
      </w:r>
    </w:p>
    <w:p w:rsidR="003D68B2" w:rsidRDefault="003D68B2" w:rsidP="003D68B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 виконання міського  бюджету за І квартал   201</w:t>
      </w:r>
      <w:r>
        <w:rPr>
          <w:b/>
          <w:sz w:val="28"/>
          <w:szCs w:val="28"/>
          <w:lang w:val="ru-RU" w:eastAsia="ru-RU"/>
        </w:rPr>
        <w:t xml:space="preserve">8 </w:t>
      </w:r>
      <w:r>
        <w:rPr>
          <w:b/>
          <w:sz w:val="28"/>
          <w:szCs w:val="28"/>
          <w:lang w:eastAsia="ru-RU"/>
        </w:rPr>
        <w:t xml:space="preserve"> року</w:t>
      </w:r>
    </w:p>
    <w:p w:rsidR="003D68B2" w:rsidRDefault="003D68B2" w:rsidP="003D68B2">
      <w:pPr>
        <w:jc w:val="center"/>
        <w:rPr>
          <w:b/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ДОХОДИ</w:t>
      </w:r>
    </w:p>
    <w:p w:rsidR="003D68B2" w:rsidRDefault="003D68B2" w:rsidP="003D68B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Загальний фонд</w:t>
      </w:r>
    </w:p>
    <w:p w:rsidR="003D68B2" w:rsidRDefault="003D68B2" w:rsidP="003D68B2">
      <w:pPr>
        <w:jc w:val="center"/>
        <w:rPr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Відповідно до звіту, поданого Управлінням Державної казначейської служби України у м. </w:t>
      </w:r>
      <w:proofErr w:type="spellStart"/>
      <w:r>
        <w:rPr>
          <w:sz w:val="28"/>
          <w:szCs w:val="28"/>
          <w:lang w:eastAsia="ru-RU"/>
        </w:rPr>
        <w:t>Кременчуці</w:t>
      </w:r>
      <w:proofErr w:type="spellEnd"/>
      <w:r>
        <w:rPr>
          <w:sz w:val="28"/>
          <w:szCs w:val="28"/>
          <w:lang w:eastAsia="ru-RU"/>
        </w:rPr>
        <w:t xml:space="preserve"> Полтавської області, станом на 01.04.2018  до  міського бюджету міста  Кременчука  при затвердженому річному  плані      2 701 565,706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надійшло доходів 753 166,373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або  27,9 % до річного плану. На звітну дату виконання плану забезпечено на 95,7%  (план 787 135,976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.). </w:t>
      </w:r>
    </w:p>
    <w:p w:rsidR="003D68B2" w:rsidRDefault="003D68B2" w:rsidP="003D68B2">
      <w:pPr>
        <w:ind w:firstLine="709"/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ind w:firstLine="709"/>
        <w:jc w:val="right"/>
        <w:rPr>
          <w:sz w:val="28"/>
          <w:szCs w:val="28"/>
          <w:lang w:eastAsia="ru-RU"/>
        </w:rPr>
      </w:pPr>
    </w:p>
    <w:p w:rsidR="003D68B2" w:rsidRDefault="003D68B2" w:rsidP="003D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5965190" cy="42799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річному   плані   по   загальному фонду   без офіційних   трансфертів 1 468 472,952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 фактично надійшло – 300 953,471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 виконання до річного плану склало  – 20,5%, виконання на звітну дату – 91,6%  /-/ 27 719,398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(план  328 672,869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.). 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По офіційних трансфертах при річному плані 1 233 092,754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надійшло 452 212,902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або 36,7%, виконання на звітну дату забезпечено на 98,6% /-/ 6 250,205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(план  458 463,107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.).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48EA2" wp14:editId="6BA0A78D">
                <wp:simplePos x="0" y="0"/>
                <wp:positionH relativeFrom="column">
                  <wp:posOffset>4714240</wp:posOffset>
                </wp:positionH>
                <wp:positionV relativeFrom="paragraph">
                  <wp:posOffset>1207135</wp:posOffset>
                </wp:positionV>
                <wp:extent cx="996950" cy="1417955"/>
                <wp:effectExtent l="407670" t="132080" r="60325" b="128270"/>
                <wp:wrapNone/>
                <wp:docPr id="6" name="Овальная вынос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86823">
                          <a:off x="0" y="0"/>
                          <a:ext cx="996950" cy="141795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8B2" w:rsidRDefault="003D68B2" w:rsidP="003D68B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ВСЬОГО доходів</w:t>
                            </w:r>
                          </w:p>
                          <w:p w:rsidR="003D68B2" w:rsidRDefault="003D68B2" w:rsidP="003D68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753 116,373</w:t>
                            </w:r>
                          </w:p>
                          <w:p w:rsidR="003D68B2" w:rsidRDefault="003D68B2" w:rsidP="003D6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6" o:spid="_x0000_s1026" type="#_x0000_t63" style="position:absolute;left:0;text-align:left;margin-left:371.2pt;margin-top:95.05pt;width:78.5pt;height:111.65pt;rotation:413622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">
                <v:textbox>
                  <w:txbxContent>
                    <w:p w:rsidR="003D68B2" w:rsidRDefault="003D68B2" w:rsidP="003D68B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ВСЬОГО доходів</w:t>
                      </w:r>
                    </w:p>
                    <w:p w:rsidR="003D68B2" w:rsidRDefault="003D68B2" w:rsidP="003D68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753 116,373</w:t>
                      </w:r>
                    </w:p>
                    <w:p w:rsidR="003D68B2" w:rsidRDefault="003D68B2" w:rsidP="003D68B2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20402A47" wp14:editId="58A29DB0">
            <wp:extent cx="5579745" cy="3620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 xml:space="preserve">Станом на 01.04.2018 фактично вилучено  коштів до державного бюджету (реверсна дотація) 13 743,300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 при  такому ж плані.</w:t>
      </w:r>
    </w:p>
    <w:p w:rsidR="003D68B2" w:rsidRDefault="003D68B2" w:rsidP="003D68B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Виконання запланованих показників в розрізі податкових та неподаткових надходжень забезпечено на:</w:t>
      </w:r>
    </w:p>
    <w:p w:rsidR="003D68B2" w:rsidRDefault="003D68B2" w:rsidP="003D68B2">
      <w:pPr>
        <w:ind w:left="1416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річний                          звітний період</w:t>
      </w:r>
    </w:p>
    <w:p w:rsidR="003D68B2" w:rsidRDefault="003D68B2" w:rsidP="003D68B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податкові надходження       -           20,5 %                                 91,2 %</w:t>
      </w:r>
    </w:p>
    <w:p w:rsidR="003D68B2" w:rsidRDefault="003D68B2" w:rsidP="003D68B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неподаткові надходження   -           22,2 %</w:t>
      </w:r>
      <w:r>
        <w:rPr>
          <w:sz w:val="28"/>
          <w:szCs w:val="28"/>
          <w:lang w:eastAsia="ru-RU"/>
        </w:rPr>
        <w:tab/>
        <w:t xml:space="preserve">                       113,6 %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Питома вага фактичних податкових надходжень в доходній частині міського бюджету  склала 97,7% або 294 150,695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неподаткових надходжень –  2,3% або 6 802,775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tabs>
          <w:tab w:val="left" w:pos="2895"/>
          <w:tab w:val="left" w:pos="5655"/>
          <w:tab w:val="left" w:pos="846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Основними джерелами доходної частини  загального фонду міського бюджету є чотири податки, питома вага яких складає 97,1% в доходній частині (300 953,471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.):</w:t>
      </w:r>
    </w:p>
    <w:p w:rsidR="003D68B2" w:rsidRDefault="003D68B2" w:rsidP="003D68B2">
      <w:pPr>
        <w:tabs>
          <w:tab w:val="left" w:pos="2895"/>
          <w:tab w:val="left" w:pos="5655"/>
          <w:tab w:val="left" w:pos="8460"/>
        </w:tabs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2883"/>
        <w:gridCol w:w="2769"/>
      </w:tblGrid>
      <w:tr w:rsidR="003D68B2" w:rsidTr="003D68B2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b/>
                <w:lang w:eastAsia="ru-RU"/>
              </w:rPr>
            </w:pPr>
            <w:proofErr w:type="spellStart"/>
            <w:r w:rsidRPr="003D68B2">
              <w:rPr>
                <w:b/>
                <w:lang w:eastAsia="ru-RU"/>
              </w:rPr>
              <w:t>тис.грн</w:t>
            </w:r>
            <w:proofErr w:type="spellEnd"/>
            <w:r w:rsidRPr="003D68B2">
              <w:rPr>
                <w:b/>
                <w:lang w:eastAsia="ru-RU"/>
              </w:rPr>
              <w:t>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jc w:val="center"/>
              <w:rPr>
                <w:b/>
                <w:lang w:eastAsia="ru-RU"/>
              </w:rPr>
            </w:pPr>
            <w:r w:rsidRPr="003D68B2">
              <w:rPr>
                <w:b/>
                <w:lang w:eastAsia="ru-RU"/>
              </w:rPr>
              <w:t>питома  вага, %</w:t>
            </w:r>
          </w:p>
        </w:tc>
      </w:tr>
      <w:tr w:rsidR="003D68B2" w:rsidTr="003D68B2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both"/>
              <w:rPr>
                <w:sz w:val="26"/>
                <w:szCs w:val="26"/>
                <w:lang w:eastAsia="ru-RU"/>
              </w:rPr>
            </w:pPr>
            <w:r w:rsidRPr="003D68B2">
              <w:rPr>
                <w:sz w:val="26"/>
                <w:szCs w:val="26"/>
                <w:lang w:eastAsia="ru-RU"/>
              </w:rPr>
              <w:t xml:space="preserve">податок та збір на доходи фізичних осіб (11010000)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202 955,695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67,4</w:t>
            </w:r>
          </w:p>
        </w:tc>
      </w:tr>
      <w:tr w:rsidR="003D68B2" w:rsidTr="003D68B2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both"/>
              <w:rPr>
                <w:sz w:val="26"/>
                <w:szCs w:val="26"/>
                <w:lang w:eastAsia="ru-RU"/>
              </w:rPr>
            </w:pPr>
            <w:r w:rsidRPr="003D68B2">
              <w:rPr>
                <w:sz w:val="26"/>
                <w:szCs w:val="26"/>
                <w:lang w:eastAsia="ru-RU"/>
              </w:rPr>
              <w:t>податок на майно в частині  земельного податку (18010500-18010900)</w:t>
            </w:r>
            <w:r w:rsidRPr="003D68B2">
              <w:rPr>
                <w:sz w:val="26"/>
                <w:szCs w:val="26"/>
                <w:lang w:val="ru-RU" w:eastAsia="ru-RU"/>
              </w:rPr>
              <w:t xml:space="preserve">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40 501,974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</w:t>
            </w:r>
          </w:p>
        </w:tc>
      </w:tr>
      <w:tr w:rsidR="003D68B2" w:rsidTr="003D68B2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both"/>
              <w:rPr>
                <w:sz w:val="26"/>
                <w:szCs w:val="26"/>
                <w:lang w:eastAsia="ru-RU"/>
              </w:rPr>
            </w:pPr>
            <w:r w:rsidRPr="003D68B2">
              <w:rPr>
                <w:sz w:val="26"/>
                <w:szCs w:val="26"/>
                <w:lang w:eastAsia="ru-RU"/>
              </w:rPr>
              <w:t>єдиний податок  (18050000)</w:t>
            </w:r>
            <w:r w:rsidRPr="003D68B2">
              <w:rPr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26 382,438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</w:t>
            </w:r>
          </w:p>
        </w:tc>
      </w:tr>
      <w:tr w:rsidR="003D68B2" w:rsidTr="003D68B2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2" w:rsidRPr="003D68B2" w:rsidRDefault="003D68B2">
            <w:pPr>
              <w:tabs>
                <w:tab w:val="left" w:pos="0"/>
                <w:tab w:val="left" w:pos="8931"/>
              </w:tabs>
              <w:jc w:val="both"/>
              <w:rPr>
                <w:sz w:val="26"/>
                <w:szCs w:val="26"/>
                <w:lang w:eastAsia="ru-RU"/>
              </w:rPr>
            </w:pPr>
            <w:r w:rsidRPr="003D68B2">
              <w:rPr>
                <w:sz w:val="26"/>
                <w:szCs w:val="26"/>
                <w:lang w:eastAsia="ru-RU"/>
              </w:rPr>
              <w:t xml:space="preserve">акцизний податок  </w:t>
            </w:r>
          </w:p>
          <w:p w:rsidR="003D68B2" w:rsidRPr="003D68B2" w:rsidRDefault="003D68B2" w:rsidP="003D68B2">
            <w:pPr>
              <w:tabs>
                <w:tab w:val="left" w:pos="0"/>
                <w:tab w:val="left" w:pos="8931"/>
              </w:tabs>
              <w:jc w:val="both"/>
              <w:rPr>
                <w:sz w:val="26"/>
                <w:szCs w:val="26"/>
                <w:lang w:eastAsia="ru-RU"/>
              </w:rPr>
            </w:pPr>
            <w:r w:rsidRPr="003D68B2">
              <w:rPr>
                <w:sz w:val="26"/>
                <w:szCs w:val="26"/>
                <w:lang w:eastAsia="ru-RU"/>
              </w:rPr>
              <w:t>(14040000;14021900;14031900)</w:t>
            </w:r>
            <w:r w:rsidRPr="003D68B2">
              <w:rPr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22 371,921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</w:t>
            </w:r>
          </w:p>
        </w:tc>
      </w:tr>
      <w:tr w:rsidR="003D68B2" w:rsidTr="003D68B2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0"/>
                <w:tab w:val="left" w:pos="8931"/>
              </w:tabs>
              <w:jc w:val="both"/>
              <w:rPr>
                <w:sz w:val="26"/>
                <w:szCs w:val="26"/>
                <w:lang w:eastAsia="ru-RU"/>
              </w:rPr>
            </w:pPr>
            <w:r w:rsidRPr="003D68B2">
              <w:rPr>
                <w:b/>
                <w:bCs/>
                <w:iCs/>
                <w:sz w:val="26"/>
                <w:szCs w:val="26"/>
                <w:lang w:eastAsia="ru-RU"/>
              </w:rPr>
              <w:t>Разом: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val="ru-RU" w:eastAsia="ru-RU"/>
              </w:rPr>
            </w:pPr>
            <w:r w:rsidRPr="003D68B2">
              <w:rPr>
                <w:b/>
                <w:bCs/>
                <w:iCs/>
                <w:sz w:val="28"/>
                <w:szCs w:val="28"/>
                <w:lang w:val="ru-RU" w:eastAsia="ru-RU"/>
              </w:rPr>
              <w:t>292 212,028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2" w:rsidRPr="003D68B2" w:rsidRDefault="003D68B2">
            <w:pPr>
              <w:tabs>
                <w:tab w:val="left" w:pos="2895"/>
                <w:tab w:val="left" w:pos="5655"/>
                <w:tab w:val="left" w:pos="84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3D68B2">
              <w:rPr>
                <w:b/>
                <w:bCs/>
                <w:iCs/>
                <w:sz w:val="28"/>
                <w:szCs w:val="28"/>
                <w:lang w:eastAsia="ru-RU"/>
              </w:rPr>
              <w:t>97,1</w:t>
            </w:r>
          </w:p>
        </w:tc>
      </w:tr>
    </w:tbl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 звітний період не виконано планові показники доходної частини  міського бюджету, в зв’язку з їх завищенням, по наступних джерелах:</w:t>
      </w:r>
    </w:p>
    <w:p w:rsidR="003D68B2" w:rsidRDefault="003D68B2" w:rsidP="003D68B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податку на доходи фізичних осіб, при плані 223 328,000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надійшло 202 955,695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або 90,9% /-/ 20 372,305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виконання до річного плану склало 19,8%;</w:t>
      </w:r>
    </w:p>
    <w:p w:rsidR="003D68B2" w:rsidRDefault="003D68B2" w:rsidP="003D68B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 xml:space="preserve">акцизному податку – при плані 30 550,000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 xml:space="preserve">. фактично  отримано  22 371,921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 xml:space="preserve">. /-/ 8 178,079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>. або 73,2% та до річного плану – 18,7%;</w:t>
      </w:r>
    </w:p>
    <w:p w:rsidR="003D68B2" w:rsidRDefault="003D68B2" w:rsidP="003D68B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податку на майно в частині  земельного податку, при плані                    41 266,300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надійшло 40 501,974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або 98,</w:t>
      </w:r>
      <w:r>
        <w:rPr>
          <w:sz w:val="28"/>
          <w:szCs w:val="28"/>
          <w:lang w:val="ru-RU" w:eastAsia="ru-RU"/>
        </w:rPr>
        <w:t>4</w:t>
      </w:r>
      <w:r>
        <w:rPr>
          <w:sz w:val="28"/>
          <w:szCs w:val="28"/>
          <w:lang w:eastAsia="ru-RU"/>
        </w:rPr>
        <w:t xml:space="preserve">% /-/  764,326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до річного плану 22,4%;</w:t>
      </w:r>
    </w:p>
    <w:p w:rsidR="003D68B2" w:rsidRDefault="003D68B2" w:rsidP="003D68B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платі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– підприємців та громадських формувань, а також за надання інших платних послуг, пов’язаних з такою державною реєстрацією – 86,3%</w:t>
      </w:r>
      <w:r>
        <w:rPr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при плані 15,500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 отримано  13,373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/-/ 2,127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</w:t>
      </w:r>
    </w:p>
    <w:p w:rsidR="003D68B2" w:rsidRDefault="003D68B2" w:rsidP="003D68B2">
      <w:pPr>
        <w:tabs>
          <w:tab w:val="left" w:pos="993"/>
        </w:tabs>
        <w:ind w:firstLine="696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 xml:space="preserve">По всіх інших джерелах доходів загального фонду забезпечено виконання планових показників, в тому числі по єдиному податку – 102,3%,  при плані 25 800,000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 xml:space="preserve">. фактично надійшло 26 382,438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 xml:space="preserve">.                              /+/ 582,438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>.;</w:t>
      </w:r>
      <w:r>
        <w:rPr>
          <w:sz w:val="28"/>
          <w:szCs w:val="28"/>
          <w:lang w:eastAsia="ru-RU"/>
        </w:rPr>
        <w:t xml:space="preserve"> </w:t>
      </w:r>
      <w:r>
        <w:rPr>
          <w:spacing w:val="1"/>
          <w:sz w:val="28"/>
          <w:szCs w:val="28"/>
          <w:lang w:eastAsia="ru-RU"/>
        </w:rPr>
        <w:t>платі за надання інших адміністративних послуг</w:t>
      </w:r>
      <w:r>
        <w:rPr>
          <w:sz w:val="28"/>
          <w:szCs w:val="28"/>
          <w:lang w:eastAsia="ru-RU"/>
        </w:rPr>
        <w:t xml:space="preserve"> – 111,0%, при плані 3 250,000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надійшло 3 606,967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                             /+/ 356,967.грн.; </w:t>
      </w:r>
      <w:r>
        <w:rPr>
          <w:spacing w:val="1"/>
          <w:sz w:val="28"/>
          <w:szCs w:val="28"/>
          <w:lang w:eastAsia="ru-RU"/>
        </w:rPr>
        <w:t xml:space="preserve">надходженню від орендної плати за користування майном, що перебуває в комунальній власності – 111,9%, при плані 1 630,000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 xml:space="preserve">. фактично надійшло 1 823,557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 xml:space="preserve">. /+/ 193,557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>.</w:t>
      </w:r>
    </w:p>
    <w:p w:rsidR="003D68B2" w:rsidRDefault="003D68B2" w:rsidP="003D68B2">
      <w:pPr>
        <w:ind w:firstLine="709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>Відповідно до Бюджетного кодексу України зберігається норма щодо зарахування акцизного податку з виробленого та ввезеного  пального до місцевих бюджетів. Пунктом 43</w:t>
      </w:r>
      <w:r>
        <w:rPr>
          <w:spacing w:val="1"/>
          <w:sz w:val="28"/>
          <w:szCs w:val="28"/>
          <w:vertAlign w:val="superscript"/>
          <w:lang w:eastAsia="ru-RU"/>
        </w:rPr>
        <w:t>1</w:t>
      </w:r>
      <w:r>
        <w:rPr>
          <w:spacing w:val="1"/>
          <w:sz w:val="28"/>
          <w:szCs w:val="28"/>
          <w:lang w:eastAsia="ru-RU"/>
        </w:rPr>
        <w:t xml:space="preserve"> розділу VI Прикінцевих  та перехідних положень Бюджетного кодексу України передбачено, що зарахування до місцевих бюджетів буде здійснюватися наступним чином:</w:t>
      </w:r>
    </w:p>
    <w:p w:rsidR="003D68B2" w:rsidRDefault="003D68B2" w:rsidP="003D68B2">
      <w:pPr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 xml:space="preserve">у першому півріччі 2018 року - </w:t>
      </w:r>
      <w:proofErr w:type="spellStart"/>
      <w:r>
        <w:rPr>
          <w:spacing w:val="1"/>
          <w:sz w:val="28"/>
          <w:szCs w:val="28"/>
          <w:lang w:eastAsia="ru-RU"/>
        </w:rPr>
        <w:t>пропорційно</w:t>
      </w:r>
      <w:proofErr w:type="spellEnd"/>
      <w:r>
        <w:rPr>
          <w:spacing w:val="1"/>
          <w:sz w:val="28"/>
          <w:szCs w:val="28"/>
          <w:lang w:eastAsia="ru-RU"/>
        </w:rPr>
        <w:t xml:space="preserve"> до обсягу реалізованого суб'єктами господарювання роздрібної торгівлі пального на відповідній території за друге півріччя 2017 року в загальному обсязі такого реалізованого пального в цілому по Україні за друге півріччя 2017 року;</w:t>
      </w:r>
    </w:p>
    <w:p w:rsidR="003D68B2" w:rsidRDefault="003D68B2" w:rsidP="003D68B2">
      <w:pPr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 xml:space="preserve">у другому півріччі 2018 року - </w:t>
      </w:r>
      <w:proofErr w:type="spellStart"/>
      <w:r>
        <w:rPr>
          <w:spacing w:val="1"/>
          <w:sz w:val="28"/>
          <w:szCs w:val="28"/>
          <w:lang w:eastAsia="ru-RU"/>
        </w:rPr>
        <w:t>пропорційно</w:t>
      </w:r>
      <w:proofErr w:type="spellEnd"/>
      <w:r>
        <w:rPr>
          <w:spacing w:val="1"/>
          <w:sz w:val="28"/>
          <w:szCs w:val="28"/>
          <w:lang w:eastAsia="ru-RU"/>
        </w:rPr>
        <w:t xml:space="preserve"> до обсягу реалізованого суб'єктами господарювання роздрібної торгівлі пального на відповідній території за перше півріччя 2018 року в загальному обсязі такого реалізованого пального в цілому по Україні за перше півріччя 2018 року.</w:t>
      </w:r>
    </w:p>
    <w:p w:rsidR="003D68B2" w:rsidRDefault="003D68B2" w:rsidP="003D68B2">
      <w:pPr>
        <w:tabs>
          <w:tab w:val="left" w:pos="851"/>
        </w:tabs>
        <w:ind w:firstLine="709"/>
        <w:jc w:val="both"/>
        <w:rPr>
          <w:spacing w:val="1"/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Постановою Кабінету Міністрів України від 28 лютого 2018 року </w:t>
      </w:r>
      <w:r>
        <w:rPr>
          <w:spacing w:val="15"/>
          <w:sz w:val="28"/>
          <w:szCs w:val="28"/>
        </w:rPr>
        <w:t>№ 116 «</w:t>
      </w:r>
      <w:r>
        <w:rPr>
          <w:sz w:val="28"/>
          <w:szCs w:val="28"/>
        </w:rPr>
        <w:t>Деякі питання зарахування частини акцизного податку з виробленого в Україні та ввезеного на митну територію України пального до загального фонду бюджетів місцевого самоврядування у 2018 році»</w:t>
      </w:r>
      <w:r>
        <w:rPr>
          <w:lang w:eastAsia="ru-RU"/>
        </w:rPr>
        <w:t xml:space="preserve"> з</w:t>
      </w:r>
      <w:r>
        <w:rPr>
          <w:sz w:val="28"/>
          <w:szCs w:val="28"/>
        </w:rPr>
        <w:t>атверджено Порядок зарахування частини акцизного податку до загального фонду бюджетів місцевого самоврядування у 2018 році.</w:t>
      </w:r>
    </w:p>
    <w:p w:rsidR="003D68B2" w:rsidRDefault="003D68B2" w:rsidP="003D68B2">
      <w:pPr>
        <w:ind w:firstLine="709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lastRenderedPageBreak/>
        <w:t xml:space="preserve">Казначейство в двотижневий строк з дня набрання чинності Постанови Уряду здійснило розподіл частини акцизного податку, що надійшов з 1 січня 2018 року, та 16.03.2018 до бюджету міста було перераховано                         10 040,190 </w:t>
      </w:r>
      <w:proofErr w:type="spellStart"/>
      <w:r>
        <w:rPr>
          <w:spacing w:val="1"/>
          <w:sz w:val="28"/>
          <w:szCs w:val="28"/>
          <w:lang w:eastAsia="ru-RU"/>
        </w:rPr>
        <w:t>тис.грн</w:t>
      </w:r>
      <w:proofErr w:type="spellEnd"/>
      <w:r>
        <w:rPr>
          <w:spacing w:val="1"/>
          <w:sz w:val="28"/>
          <w:szCs w:val="28"/>
          <w:lang w:eastAsia="ru-RU"/>
        </w:rPr>
        <w:t>. В подальшому щоденно в автоматичному  режимі проводилось розмежування  та зарахування даних коштів до міського бюджету.</w:t>
      </w:r>
    </w:p>
    <w:p w:rsidR="003D68B2" w:rsidRDefault="003D68B2" w:rsidP="003D68B2">
      <w:pPr>
        <w:ind w:firstLine="709"/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6114415" cy="42360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eastAsia="ru-RU"/>
        </w:rPr>
        <w:t xml:space="preserve">          </w:t>
      </w:r>
    </w:p>
    <w:p w:rsidR="003D68B2" w:rsidRDefault="003D68B2" w:rsidP="003D68B2">
      <w:pPr>
        <w:ind w:firstLine="696"/>
        <w:jc w:val="both"/>
        <w:rPr>
          <w:snapToGrid w:val="0"/>
          <w:sz w:val="28"/>
          <w:szCs w:val="28"/>
          <w:lang w:val="ru-RU" w:eastAsia="ru-RU"/>
        </w:rPr>
      </w:pPr>
    </w:p>
    <w:p w:rsidR="003D68B2" w:rsidRDefault="003D68B2" w:rsidP="003D68B2">
      <w:pPr>
        <w:ind w:firstLine="696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val="ru-RU" w:eastAsia="ru-RU"/>
        </w:rPr>
        <w:t>В</w:t>
      </w:r>
      <w:r>
        <w:rPr>
          <w:snapToGrid w:val="0"/>
          <w:sz w:val="28"/>
          <w:szCs w:val="28"/>
          <w:lang w:eastAsia="ru-RU"/>
        </w:rPr>
        <w:t xml:space="preserve"> 2018 році порівняно з 2017 роком зростання  обсягу  доходної частини загального фонду міського бюджету без врахування трансфертів заплановано на 35,1% або /+/381 827,606 </w:t>
      </w:r>
      <w:proofErr w:type="spellStart"/>
      <w:r>
        <w:rPr>
          <w:snapToGrid w:val="0"/>
          <w:sz w:val="28"/>
          <w:szCs w:val="28"/>
          <w:lang w:eastAsia="ru-RU"/>
        </w:rPr>
        <w:t>тис</w:t>
      </w:r>
      <w:proofErr w:type="gramStart"/>
      <w:r>
        <w:rPr>
          <w:snapToGrid w:val="0"/>
          <w:sz w:val="28"/>
          <w:szCs w:val="28"/>
          <w:lang w:eastAsia="ru-RU"/>
        </w:rPr>
        <w:t>.г</w:t>
      </w:r>
      <w:proofErr w:type="gramEnd"/>
      <w:r>
        <w:rPr>
          <w:snapToGrid w:val="0"/>
          <w:sz w:val="28"/>
          <w:szCs w:val="28"/>
          <w:lang w:eastAsia="ru-RU"/>
        </w:rPr>
        <w:t>рн</w:t>
      </w:r>
      <w:proofErr w:type="spellEnd"/>
      <w:r>
        <w:rPr>
          <w:snapToGrid w:val="0"/>
          <w:sz w:val="28"/>
          <w:szCs w:val="28"/>
          <w:lang w:eastAsia="ru-RU"/>
        </w:rPr>
        <w:t xml:space="preserve">., в тому числі </w:t>
      </w:r>
      <w:proofErr w:type="spellStart"/>
      <w:r>
        <w:rPr>
          <w:snapToGrid w:val="0"/>
          <w:sz w:val="28"/>
          <w:szCs w:val="28"/>
          <w:lang w:eastAsia="ru-RU"/>
        </w:rPr>
        <w:t>пдфо</w:t>
      </w:r>
      <w:proofErr w:type="spellEnd"/>
      <w:r>
        <w:rPr>
          <w:snapToGrid w:val="0"/>
          <w:sz w:val="28"/>
          <w:szCs w:val="28"/>
          <w:lang w:eastAsia="ru-RU"/>
        </w:rPr>
        <w:t xml:space="preserve"> – на 50,2% або  /+/ 342 146,174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>.</w:t>
      </w:r>
    </w:p>
    <w:p w:rsidR="003D68B2" w:rsidRDefault="003D68B2" w:rsidP="003D68B2">
      <w:pPr>
        <w:ind w:firstLine="696"/>
        <w:jc w:val="both"/>
        <w:rPr>
          <w:snapToGrid w:val="0"/>
          <w:sz w:val="28"/>
          <w:szCs w:val="28"/>
          <w:lang w:eastAsia="ru-RU"/>
        </w:rPr>
      </w:pPr>
    </w:p>
    <w:p w:rsidR="003D68B2" w:rsidRDefault="003D68B2" w:rsidP="003D68B2">
      <w:pPr>
        <w:ind w:firstLine="696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Станом на 01.04.2018 в  порівнянні з </w:t>
      </w:r>
      <w:proofErr w:type="spellStart"/>
      <w:r>
        <w:rPr>
          <w:snapToGrid w:val="0"/>
          <w:sz w:val="28"/>
          <w:szCs w:val="28"/>
          <w:lang w:eastAsia="ru-RU"/>
        </w:rPr>
        <w:t>в.п.м.р</w:t>
      </w:r>
      <w:proofErr w:type="spellEnd"/>
      <w:r>
        <w:rPr>
          <w:snapToGrid w:val="0"/>
          <w:sz w:val="28"/>
          <w:szCs w:val="28"/>
          <w:lang w:eastAsia="ru-RU"/>
        </w:rPr>
        <w:t xml:space="preserve">. надходження до загального фонду зросли на 23,4% або /+/ 57 095,812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., в тому числі по: </w:t>
      </w:r>
    </w:p>
    <w:p w:rsidR="003D68B2" w:rsidRDefault="003D68B2" w:rsidP="003D68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  <w:lang w:eastAsia="ru-RU"/>
        </w:rPr>
      </w:pPr>
      <w:proofErr w:type="spellStart"/>
      <w:r>
        <w:rPr>
          <w:snapToGrid w:val="0"/>
          <w:sz w:val="28"/>
          <w:szCs w:val="28"/>
          <w:lang w:eastAsia="ru-RU"/>
        </w:rPr>
        <w:t>пдфо</w:t>
      </w:r>
      <w:proofErr w:type="spellEnd"/>
      <w:r>
        <w:rPr>
          <w:snapToGrid w:val="0"/>
          <w:sz w:val="28"/>
          <w:szCs w:val="28"/>
          <w:lang w:eastAsia="ru-RU"/>
        </w:rPr>
        <w:t xml:space="preserve"> на 38,8% або /+/ 56 711,608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., </w:t>
      </w:r>
    </w:p>
    <w:p w:rsidR="003D68B2" w:rsidRDefault="003D68B2" w:rsidP="003D68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єдиному податку на 10,9% /+/ 2 585,358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., </w:t>
      </w:r>
    </w:p>
    <w:p w:rsidR="003D68B2" w:rsidRDefault="003D68B2" w:rsidP="003D68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податку на майно в частині земельного податку на 3,0% або                            /+/ 1 163,086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.,  </w:t>
      </w:r>
    </w:p>
    <w:p w:rsidR="003D68B2" w:rsidRDefault="003D68B2" w:rsidP="003D68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надходженню від орендної плати за користування майном, що перебуває в комунальній власності  на 40,9% /+/ 529,509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., </w:t>
      </w:r>
    </w:p>
    <w:p w:rsidR="003D68B2" w:rsidRDefault="003D68B2" w:rsidP="003D68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  <w:lang w:val="ru-RU" w:eastAsia="ru-RU"/>
        </w:rPr>
      </w:pPr>
      <w:r>
        <w:rPr>
          <w:snapToGrid w:val="0"/>
          <w:sz w:val="28"/>
          <w:szCs w:val="28"/>
          <w:lang w:eastAsia="ru-RU"/>
        </w:rPr>
        <w:t xml:space="preserve">платі за надання інших адміністративних послуг  в 1,9 р.                                 /+/ 1 708,588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>. та ін.</w:t>
      </w:r>
    </w:p>
    <w:p w:rsidR="003D68B2" w:rsidRDefault="003D68B2" w:rsidP="003D68B2">
      <w:pPr>
        <w:ind w:firstLine="696"/>
        <w:jc w:val="both"/>
        <w:rPr>
          <w:snapToGrid w:val="0"/>
          <w:sz w:val="28"/>
          <w:szCs w:val="28"/>
          <w:lang w:eastAsia="ru-RU"/>
        </w:rPr>
      </w:pPr>
    </w:p>
    <w:p w:rsidR="003D68B2" w:rsidRDefault="003D68B2" w:rsidP="003D68B2">
      <w:pPr>
        <w:ind w:firstLine="696"/>
        <w:jc w:val="both"/>
        <w:rPr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lastRenderedPageBreak/>
        <w:t xml:space="preserve">Значне зниження надходжень порівняно з </w:t>
      </w:r>
      <w:proofErr w:type="spellStart"/>
      <w:r>
        <w:rPr>
          <w:snapToGrid w:val="0"/>
          <w:sz w:val="28"/>
          <w:szCs w:val="28"/>
          <w:lang w:eastAsia="ru-RU"/>
        </w:rPr>
        <w:t>в.п.м.р</w:t>
      </w:r>
      <w:proofErr w:type="spellEnd"/>
      <w:r>
        <w:rPr>
          <w:snapToGrid w:val="0"/>
          <w:sz w:val="28"/>
          <w:szCs w:val="28"/>
          <w:lang w:eastAsia="ru-RU"/>
        </w:rPr>
        <w:t xml:space="preserve">. відбулося по акцизному податку /-/ 5 123,610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 або на 18,6%. В січні місяці  2017 року за грудень 2016 року по коду доходів 14040000 «Акцизний податок з реалізації суб’єктами господарювання роздрібної торгівлі підакцизних товарів» надійшло                  10 511,792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 xml:space="preserve">., в тому числі близько 65% - це надходження від роздрібної торгівлі палива. Починаючи з 2017 року акцизний податок з роздрібного продажу палива було скасовано. По даному коду платежу в січні 2018 року за грудень 2017 року надійшло 3 699,565 </w:t>
      </w:r>
      <w:proofErr w:type="spellStart"/>
      <w:r>
        <w:rPr>
          <w:snapToGrid w:val="0"/>
          <w:sz w:val="28"/>
          <w:szCs w:val="28"/>
          <w:lang w:eastAsia="ru-RU"/>
        </w:rPr>
        <w:t>тис.грн</w:t>
      </w:r>
      <w:proofErr w:type="spellEnd"/>
      <w:r>
        <w:rPr>
          <w:snapToGrid w:val="0"/>
          <w:sz w:val="28"/>
          <w:szCs w:val="28"/>
          <w:lang w:eastAsia="ru-RU"/>
        </w:rPr>
        <w:t>. або 35,2%.</w:t>
      </w:r>
    </w:p>
    <w:p w:rsidR="003D68B2" w:rsidRDefault="003D68B2" w:rsidP="003D68B2">
      <w:pPr>
        <w:ind w:firstLine="696"/>
        <w:jc w:val="both"/>
        <w:rPr>
          <w:spacing w:val="1"/>
          <w:sz w:val="28"/>
          <w:szCs w:val="28"/>
          <w:lang w:eastAsia="ru-RU"/>
        </w:rPr>
      </w:pPr>
    </w:p>
    <w:p w:rsidR="003D68B2" w:rsidRDefault="003D68B2" w:rsidP="003D68B2">
      <w:pPr>
        <w:ind w:firstLine="696"/>
        <w:jc w:val="both"/>
        <w:rPr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>За інформацією управління економіки виконавчого комітету Кременчуцької міської ради Полтавської області станом на 01.04.2018 с</w:t>
      </w:r>
      <w:r>
        <w:rPr>
          <w:sz w:val="28"/>
          <w:szCs w:val="28"/>
          <w:lang w:eastAsia="ru-RU"/>
        </w:rPr>
        <w:t>постерігалося зростання обсягів виробництва по наступних бюджетоутворюючих підприємствах міста: ПАТ «</w:t>
      </w:r>
      <w:proofErr w:type="spellStart"/>
      <w:r>
        <w:rPr>
          <w:sz w:val="28"/>
          <w:szCs w:val="28"/>
          <w:lang w:eastAsia="ru-RU"/>
        </w:rPr>
        <w:t>Крюківський</w:t>
      </w:r>
      <w:proofErr w:type="spellEnd"/>
      <w:r>
        <w:rPr>
          <w:sz w:val="28"/>
          <w:szCs w:val="28"/>
          <w:lang w:eastAsia="ru-RU"/>
        </w:rPr>
        <w:t xml:space="preserve"> вагонобудівний завод» збільшено випуск вантажних вагонів  на 27,9%, модернізовано вагонів метро – 5 шт.; пасажирські вагони: січень-березень 2018 року –  0  шт., січень -березень 2017 року – 12 шт.; ПрАТ «</w:t>
      </w:r>
      <w:proofErr w:type="spellStart"/>
      <w:r>
        <w:rPr>
          <w:sz w:val="28"/>
          <w:szCs w:val="28"/>
          <w:lang w:eastAsia="ru-RU"/>
        </w:rPr>
        <w:t>Кредмаш</w:t>
      </w:r>
      <w:proofErr w:type="spellEnd"/>
      <w:r>
        <w:rPr>
          <w:sz w:val="28"/>
          <w:szCs w:val="28"/>
          <w:lang w:eastAsia="ru-RU"/>
        </w:rPr>
        <w:t>» - на 7,1%; ПАТ «</w:t>
      </w:r>
      <w:proofErr w:type="spellStart"/>
      <w:r>
        <w:rPr>
          <w:sz w:val="28"/>
          <w:szCs w:val="28"/>
          <w:lang w:eastAsia="ru-RU"/>
        </w:rPr>
        <w:t>Стальзавод</w:t>
      </w:r>
      <w:proofErr w:type="spellEnd"/>
      <w:r>
        <w:rPr>
          <w:sz w:val="28"/>
          <w:szCs w:val="28"/>
          <w:lang w:eastAsia="ru-RU"/>
        </w:rPr>
        <w:t>» -  в 1,9 р.; ПрАТ «КЗТВ» – на 28,9%;    ПАТ «Кременчуцьке кар’єроуправління «Кварц» - в 3,0р.; ПрАТ КВТФ «КРЕМТЕКС» - на 12,0%;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ПрАТ «Кременчуцька кондитерська фабрика «РОШЕН» - на 9,1%; ВП «</w:t>
      </w:r>
      <w:proofErr w:type="spellStart"/>
      <w:r>
        <w:rPr>
          <w:sz w:val="28"/>
          <w:szCs w:val="28"/>
          <w:lang w:eastAsia="ru-RU"/>
        </w:rPr>
        <w:t>Крюківський</w:t>
      </w:r>
      <w:proofErr w:type="spellEnd"/>
      <w:r>
        <w:rPr>
          <w:sz w:val="28"/>
          <w:szCs w:val="28"/>
          <w:lang w:eastAsia="ru-RU"/>
        </w:rPr>
        <w:t xml:space="preserve"> кар’єр»</w:t>
      </w:r>
      <w:r w:rsidR="009471E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ЦУП»ПАТ«Укрзалізниця</w:t>
      </w:r>
      <w:proofErr w:type="spellEnd"/>
      <w:r>
        <w:rPr>
          <w:sz w:val="28"/>
          <w:szCs w:val="28"/>
          <w:lang w:eastAsia="ru-RU"/>
        </w:rPr>
        <w:t>»</w:t>
      </w:r>
      <w:r>
        <w:rPr>
          <w:lang w:eastAsia="ru-RU"/>
        </w:rPr>
        <w:t xml:space="preserve"> - </w:t>
      </w:r>
      <w:r>
        <w:rPr>
          <w:sz w:val="28"/>
          <w:szCs w:val="28"/>
          <w:lang w:eastAsia="ru-RU"/>
        </w:rPr>
        <w:t>на 31,6%;  ТОВ «</w:t>
      </w:r>
      <w:proofErr w:type="spellStart"/>
      <w:r>
        <w:rPr>
          <w:sz w:val="28"/>
          <w:szCs w:val="28"/>
          <w:lang w:eastAsia="ru-RU"/>
        </w:rPr>
        <w:t>Малокохнівський</w:t>
      </w:r>
      <w:proofErr w:type="spellEnd"/>
      <w:r>
        <w:rPr>
          <w:sz w:val="28"/>
          <w:szCs w:val="28"/>
          <w:lang w:eastAsia="ru-RU"/>
        </w:rPr>
        <w:t xml:space="preserve"> кар’єр»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-                      в 2,4 р.</w:t>
      </w:r>
    </w:p>
    <w:p w:rsidR="003D68B2" w:rsidRDefault="003D68B2" w:rsidP="003D68B2">
      <w:pPr>
        <w:ind w:firstLine="69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той же час зниження обсягів виробництва в порівнянні з аналогічним періодом  2017 року відбулось на:  ПрАТ «Кременчуцький колісний завод» - на 5,8%;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ПрАТ «Кременчуцький </w:t>
      </w:r>
      <w:proofErr w:type="spellStart"/>
      <w:r>
        <w:rPr>
          <w:sz w:val="28"/>
          <w:szCs w:val="28"/>
          <w:lang w:eastAsia="ru-RU"/>
        </w:rPr>
        <w:t>міськмолокозавод</w:t>
      </w:r>
      <w:proofErr w:type="spellEnd"/>
      <w:r>
        <w:rPr>
          <w:sz w:val="28"/>
          <w:szCs w:val="28"/>
          <w:lang w:eastAsia="ru-RU"/>
        </w:rPr>
        <w:t xml:space="preserve">» - на 15,2%; </w:t>
      </w:r>
      <w:r w:rsidR="009471E3">
        <w:rPr>
          <w:sz w:val="28"/>
          <w:szCs w:val="28"/>
          <w:lang w:eastAsia="ru-RU"/>
        </w:rPr>
        <w:t xml:space="preserve">                                  </w:t>
      </w:r>
      <w:r>
        <w:rPr>
          <w:sz w:val="28"/>
          <w:szCs w:val="28"/>
          <w:lang w:eastAsia="ru-RU"/>
        </w:rPr>
        <w:t>ТОВ «Кременчуцький хлібокомбінат»</w:t>
      </w:r>
      <w:r>
        <w:rPr>
          <w:lang w:eastAsia="ru-RU"/>
        </w:rPr>
        <w:t xml:space="preserve"> - на </w:t>
      </w:r>
      <w:r>
        <w:rPr>
          <w:sz w:val="28"/>
          <w:szCs w:val="28"/>
          <w:lang w:eastAsia="ru-RU"/>
        </w:rPr>
        <w:t>12,7%.</w:t>
      </w:r>
    </w:p>
    <w:p w:rsidR="003D68B2" w:rsidRDefault="003D68B2" w:rsidP="003D68B2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</w:p>
    <w:p w:rsidR="003D68B2" w:rsidRDefault="003D68B2" w:rsidP="003D68B2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shd w:val="clear" w:color="auto" w:fill="FFFFFF"/>
          <w:lang w:eastAsia="ru-RU"/>
        </w:rPr>
        <w:t xml:space="preserve">Інформація </w:t>
      </w:r>
    </w:p>
    <w:p w:rsidR="003D68B2" w:rsidRDefault="003D68B2" w:rsidP="003D68B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shd w:val="clear" w:color="auto" w:fill="FFFFFF"/>
          <w:lang w:eastAsia="ru-RU"/>
        </w:rPr>
        <w:t xml:space="preserve">щодо сум збільшення/зменшення надходжень  ПДФО  (контингент)            станом на 01.04.2018   в порівнянні з </w:t>
      </w:r>
      <w:proofErr w:type="spellStart"/>
      <w:r>
        <w:rPr>
          <w:b/>
          <w:sz w:val="28"/>
          <w:szCs w:val="28"/>
          <w:shd w:val="clear" w:color="auto" w:fill="FFFFFF"/>
          <w:lang w:eastAsia="ru-RU"/>
        </w:rPr>
        <w:t>в.п.м.р</w:t>
      </w:r>
      <w:proofErr w:type="spellEnd"/>
      <w:r>
        <w:rPr>
          <w:b/>
          <w:sz w:val="28"/>
          <w:szCs w:val="28"/>
          <w:shd w:val="clear" w:color="auto" w:fill="FFFFFF"/>
          <w:lang w:eastAsia="ru-RU"/>
        </w:rPr>
        <w:t>.</w:t>
      </w:r>
    </w:p>
    <w:p w:rsidR="003D68B2" w:rsidRDefault="003D68B2" w:rsidP="003D68B2">
      <w:pPr>
        <w:autoSpaceDE w:val="0"/>
        <w:autoSpaceDN w:val="0"/>
        <w:adjustRightInd w:val="0"/>
        <w:spacing w:after="120"/>
        <w:ind w:firstLine="567"/>
        <w:jc w:val="both"/>
        <w:rPr>
          <w:kern w:val="2"/>
          <w:lang w:eastAsia="ru-RU"/>
        </w:rPr>
      </w:pP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</w:r>
      <w:r>
        <w:rPr>
          <w:kern w:val="2"/>
          <w:sz w:val="28"/>
          <w:lang w:val="ru-RU" w:eastAsia="ru-RU"/>
        </w:rPr>
        <w:tab/>
        <w:t xml:space="preserve">             </w:t>
      </w:r>
      <w:proofErr w:type="spellStart"/>
      <w:r>
        <w:rPr>
          <w:kern w:val="2"/>
          <w:sz w:val="28"/>
          <w:lang w:val="ru-RU" w:eastAsia="ru-RU"/>
        </w:rPr>
        <w:t>тис</w:t>
      </w:r>
      <w:proofErr w:type="gramStart"/>
      <w:r>
        <w:rPr>
          <w:kern w:val="2"/>
          <w:sz w:val="28"/>
          <w:lang w:val="ru-RU" w:eastAsia="ru-RU"/>
        </w:rPr>
        <w:t>.г</w:t>
      </w:r>
      <w:proofErr w:type="gramEnd"/>
      <w:r>
        <w:rPr>
          <w:kern w:val="2"/>
          <w:sz w:val="28"/>
          <w:lang w:val="ru-RU" w:eastAsia="ru-RU"/>
        </w:rPr>
        <w:t>рн</w:t>
      </w:r>
      <w:proofErr w:type="spellEnd"/>
      <w:r>
        <w:rPr>
          <w:kern w:val="2"/>
          <w:sz w:val="28"/>
          <w:lang w:val="ru-RU" w:eastAsia="ru-RU"/>
        </w:rPr>
        <w:t>.</w:t>
      </w:r>
    </w:p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5599"/>
        <w:gridCol w:w="1702"/>
        <w:gridCol w:w="1419"/>
      </w:tblGrid>
      <w:tr w:rsidR="003D68B2" w:rsidTr="003D68B2">
        <w:trPr>
          <w:trHeight w:val="265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sz w:val="28"/>
                <w:lang w:eastAsia="ru-RU"/>
              </w:rPr>
              <w:t>№ з/п</w:t>
            </w:r>
          </w:p>
        </w:tc>
        <w:tc>
          <w:tcPr>
            <w:tcW w:w="55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after="120" w:line="276" w:lineRule="auto"/>
              <w:ind w:firstLine="567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sz w:val="28"/>
                <w:lang w:eastAsia="ru-RU"/>
              </w:rPr>
              <w:t>Назва підприємства</w:t>
            </w:r>
          </w:p>
        </w:tc>
        <w:tc>
          <w:tcPr>
            <w:tcW w:w="170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sz w:val="28"/>
                <w:lang w:eastAsia="ru-RU"/>
              </w:rPr>
              <w:t>Сума (+/-)</w:t>
            </w:r>
          </w:p>
        </w:tc>
        <w:tc>
          <w:tcPr>
            <w:tcW w:w="141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sz w:val="28"/>
                <w:lang w:eastAsia="ru-RU"/>
              </w:rPr>
              <w:t>%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ПАТ «КВБЗ»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15 187,5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1,9р.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ПАТ «Укртатнафта»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8 959,5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ПАТ «КСЗ»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6 743,0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2,2р.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ПрАТ «</w:t>
            </w:r>
            <w:proofErr w:type="spellStart"/>
            <w:r>
              <w:rPr>
                <w:sz w:val="28"/>
                <w:szCs w:val="28"/>
                <w:lang w:eastAsia="ru-RU"/>
              </w:rPr>
              <w:t>Кредмаш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2 731,6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31,8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ind w:left="209" w:hanging="20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ПрАТ «АвтоКрАЗ»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2 467,5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35,8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ПрАТ «КЗТВ»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1 274,7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46,4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ПрАТ «</w:t>
            </w:r>
            <w:proofErr w:type="spellStart"/>
            <w:r>
              <w:rPr>
                <w:sz w:val="28"/>
                <w:szCs w:val="28"/>
                <w:lang w:eastAsia="ru-RU"/>
              </w:rPr>
              <w:t>КрКЗ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1 221,7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8.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ПрАТ ККФ «Рошен»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29,9</w:t>
            </w:r>
          </w:p>
        </w:tc>
      </w:tr>
      <w:tr w:rsidR="003D68B2" w:rsidTr="003D68B2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9.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D68B2" w:rsidRDefault="003D68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ПАТ «Джей Ті Інтернешнл Україна»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3D68B2" w:rsidRDefault="003D68B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</w:t>
            </w:r>
          </w:p>
        </w:tc>
      </w:tr>
    </w:tbl>
    <w:p w:rsidR="003D68B2" w:rsidRDefault="003D68B2" w:rsidP="003D68B2">
      <w:pPr>
        <w:ind w:left="720"/>
        <w:contextualSpacing/>
        <w:jc w:val="both"/>
        <w:rPr>
          <w:spacing w:val="1"/>
          <w:sz w:val="28"/>
          <w:szCs w:val="28"/>
          <w:lang w:eastAsia="ru-RU"/>
        </w:rPr>
      </w:pPr>
    </w:p>
    <w:p w:rsidR="003D68B2" w:rsidRDefault="003D68B2" w:rsidP="003D68B2">
      <w:pPr>
        <w:ind w:firstLine="69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Станом на 01.03.2018 заборгованість по заробітній платі по активних підприємствах міста склала 1 069,9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(статистика), 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 xml:space="preserve">.: </w:t>
      </w:r>
      <w:r w:rsidR="009471E3"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 xml:space="preserve">ДВНЗ «Кременчуцький коледж транспортної інфраструктури» - 1 069,9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3D68B2" w:rsidRDefault="003D68B2" w:rsidP="003D68B2">
      <w:pPr>
        <w:autoSpaceDE w:val="0"/>
        <w:autoSpaceDN w:val="0"/>
        <w:adjustRightInd w:val="0"/>
        <w:spacing w:after="120"/>
        <w:ind w:firstLine="567"/>
        <w:jc w:val="both"/>
        <w:rPr>
          <w:kern w:val="2"/>
          <w:sz w:val="28"/>
          <w:szCs w:val="28"/>
          <w:lang w:eastAsia="ru-RU"/>
        </w:rPr>
      </w:pPr>
    </w:p>
    <w:p w:rsidR="003D68B2" w:rsidRDefault="003D68B2" w:rsidP="003D68B2">
      <w:pPr>
        <w:autoSpaceDE w:val="0"/>
        <w:autoSpaceDN w:val="0"/>
        <w:adjustRightInd w:val="0"/>
        <w:spacing w:after="120"/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Згідно з моніторингом станом на 01.04.2018 очікувана заборгованість по заробітній платі по активних підприємствах  міста складає  -  2 037,8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.,           в </w:t>
      </w:r>
      <w:proofErr w:type="spellStart"/>
      <w:r>
        <w:rPr>
          <w:kern w:val="2"/>
          <w:sz w:val="28"/>
          <w:szCs w:val="28"/>
          <w:lang w:eastAsia="ru-RU"/>
        </w:rPr>
        <w:t>т.ч</w:t>
      </w:r>
      <w:proofErr w:type="spellEnd"/>
      <w:r>
        <w:rPr>
          <w:kern w:val="2"/>
          <w:sz w:val="28"/>
          <w:szCs w:val="28"/>
          <w:lang w:eastAsia="ru-RU"/>
        </w:rPr>
        <w:t xml:space="preserve">.: ДВНЗ «Кременчуцький коледж транспортної інфраструктури» -                    1 069,9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>., ТОВ «</w:t>
      </w:r>
      <w:proofErr w:type="spellStart"/>
      <w:r>
        <w:rPr>
          <w:kern w:val="2"/>
          <w:sz w:val="28"/>
          <w:szCs w:val="28"/>
          <w:lang w:eastAsia="ru-RU"/>
        </w:rPr>
        <w:t>Укрфорест</w:t>
      </w:r>
      <w:proofErr w:type="spellEnd"/>
      <w:r>
        <w:rPr>
          <w:kern w:val="2"/>
          <w:sz w:val="28"/>
          <w:szCs w:val="28"/>
          <w:lang w:eastAsia="ru-RU"/>
        </w:rPr>
        <w:t xml:space="preserve"> груп» - 791,8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  </w:t>
      </w:r>
    </w:p>
    <w:p w:rsidR="003D68B2" w:rsidRDefault="003D68B2" w:rsidP="003D68B2">
      <w:pPr>
        <w:ind w:firstLine="696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keepNext/>
        <w:jc w:val="center"/>
        <w:outlineLvl w:val="0"/>
        <w:rPr>
          <w:b/>
          <w:bCs/>
          <w:iCs/>
          <w:sz w:val="32"/>
          <w:szCs w:val="32"/>
          <w:lang w:eastAsia="ru-RU"/>
        </w:rPr>
      </w:pPr>
      <w:r>
        <w:rPr>
          <w:b/>
          <w:bCs/>
          <w:iCs/>
          <w:sz w:val="32"/>
          <w:szCs w:val="32"/>
          <w:lang w:eastAsia="ru-RU"/>
        </w:rPr>
        <w:t>Спеціальний фонд</w:t>
      </w:r>
    </w:p>
    <w:p w:rsidR="003D68B2" w:rsidRDefault="003D68B2" w:rsidP="003D68B2">
      <w:pPr>
        <w:rPr>
          <w:lang w:eastAsia="ru-RU"/>
        </w:rPr>
      </w:pPr>
    </w:p>
    <w:p w:rsidR="003D68B2" w:rsidRDefault="003D68B2" w:rsidP="003D68B2">
      <w:pPr>
        <w:autoSpaceDE w:val="0"/>
        <w:autoSpaceDN w:val="0"/>
        <w:adjustRightInd w:val="0"/>
        <w:spacing w:after="120"/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b/>
          <w:kern w:val="2"/>
          <w:sz w:val="28"/>
          <w:szCs w:val="28"/>
          <w:lang w:eastAsia="ru-RU"/>
        </w:rPr>
        <w:t>По</w:t>
      </w:r>
      <w:r>
        <w:rPr>
          <w:kern w:val="2"/>
          <w:sz w:val="28"/>
          <w:szCs w:val="28"/>
          <w:lang w:eastAsia="ru-RU"/>
        </w:rPr>
        <w:t xml:space="preserve"> </w:t>
      </w:r>
      <w:r>
        <w:rPr>
          <w:b/>
          <w:kern w:val="2"/>
          <w:sz w:val="28"/>
          <w:szCs w:val="28"/>
          <w:lang w:eastAsia="ru-RU"/>
        </w:rPr>
        <w:t xml:space="preserve">спеціальному фонду </w:t>
      </w:r>
      <w:r>
        <w:rPr>
          <w:kern w:val="2"/>
          <w:sz w:val="28"/>
          <w:szCs w:val="28"/>
          <w:lang w:eastAsia="ru-RU"/>
        </w:rPr>
        <w:t xml:space="preserve">при затвердженому річному  плані  на 2018 рік (без офіційних трансфертів)  – 53 444,318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 фактично надійшло – 15 698,990 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., виконання до річного плану  склало 29,4%; по офіційних трансфертах  при річному плані 3 000,0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>. надходження відсутні; в цілому  виконання до річного плану склало 27,8%.</w:t>
      </w:r>
    </w:p>
    <w:p w:rsidR="003D68B2" w:rsidRDefault="003D68B2" w:rsidP="003D68B2">
      <w:pPr>
        <w:ind w:firstLine="709"/>
        <w:jc w:val="right"/>
        <w:rPr>
          <w:iCs/>
          <w:sz w:val="28"/>
          <w:szCs w:val="28"/>
          <w:lang w:eastAsia="ru-RU"/>
        </w:rPr>
      </w:pPr>
      <w:proofErr w:type="spellStart"/>
      <w:r>
        <w:rPr>
          <w:iCs/>
          <w:sz w:val="28"/>
          <w:szCs w:val="28"/>
          <w:lang w:eastAsia="ru-RU"/>
        </w:rPr>
        <w:t>тис.грн</w:t>
      </w:r>
      <w:proofErr w:type="spellEnd"/>
      <w:r>
        <w:rPr>
          <w:iCs/>
          <w:sz w:val="28"/>
          <w:szCs w:val="28"/>
          <w:lang w:eastAsia="ru-RU"/>
        </w:rPr>
        <w:t>.</w:t>
      </w: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171450</wp:posOffset>
            </wp:positionV>
            <wp:extent cx="5086985" cy="3636010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left="-360" w:firstLine="360"/>
        <w:jc w:val="both"/>
        <w:rPr>
          <w:iCs/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Виконання планових показників на звітну дату забезпечено по всіх джерелах спеціального фонду, крім надходження коштів від відчуження майна, що належить до комунальної власності, при плані 58,250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– надходження відсутні.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Станом на 01.04.2018 до бюджету розвитку  фактично надійшло   -  1 437,851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при річному плані 8 200,100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виконання до річного плану склало 17,5% та  на звітну дату 195,0% /+/ 700,576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(план        737,275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.), в тому числі по надходженню коштів пайової участі у розвитку інфраструктури населеного пункту виконання на звітну дату </w:t>
      </w:r>
      <w:r>
        <w:rPr>
          <w:sz w:val="28"/>
          <w:szCs w:val="28"/>
          <w:lang w:eastAsia="ru-RU"/>
        </w:rPr>
        <w:lastRenderedPageBreak/>
        <w:t xml:space="preserve">забезпечено в 2,1р. при плані 650,000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отримано               1 336,642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  /+/ 686,642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екологічному податку виконання  до річного плану склало 29,6% при плані 6 430,000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фактично надійшло 1 900,152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Виконання плану на звітну дату забезпечено на 118,2% (план 1 607,500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.).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місті постійно проводяться відповідні заходи щодо наповнення доходної частини міського бюджету.</w:t>
      </w:r>
    </w:p>
    <w:p w:rsidR="003D68B2" w:rsidRDefault="003D68B2" w:rsidP="003D68B2">
      <w:pPr>
        <w:ind w:firstLine="720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За інформацією КОДПІ ГУ ДФС у Полтавській області</w:t>
      </w:r>
      <w:r>
        <w:rPr>
          <w:sz w:val="28"/>
          <w:lang w:eastAsia="ru-RU"/>
        </w:rPr>
        <w:t xml:space="preserve">  у  І кварталі   2018 року членами групи по легалізації виплати заробітної плати та зайнятості населення м. Кременчука проведено 10 спільних рейдів та  перевірено 210 суб’єктів господарювання. Встановлено порушення у 36 суб’єктів господарювання, виявлено 62 неоформлених найманих працівників, 3</w:t>
      </w:r>
      <w:r>
        <w:rPr>
          <w:lang w:eastAsia="ru-RU"/>
        </w:rPr>
        <w:t xml:space="preserve"> </w:t>
      </w:r>
      <w:r>
        <w:rPr>
          <w:sz w:val="28"/>
          <w:lang w:eastAsia="ru-RU"/>
        </w:rPr>
        <w:t>громадян, які здійснювали діяльність без державної реєстрації.</w:t>
      </w:r>
    </w:p>
    <w:p w:rsidR="003D68B2" w:rsidRDefault="003D68B2" w:rsidP="003D68B2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Оформлено трудові відносини та укладено трудові договори з 39 найманими працівниками, у результаті чого сплачено податку на доходи фізичних осіб в сумі 26,1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єдиного соціального внеску                                31,9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</w:t>
      </w:r>
      <w:r>
        <w:rPr>
          <w:sz w:val="28"/>
          <w:szCs w:val="28"/>
          <w:lang w:val="en-US" w:eastAsia="ru-RU"/>
        </w:rPr>
        <w:t> </w:t>
      </w:r>
      <w:r>
        <w:rPr>
          <w:sz w:val="28"/>
          <w:szCs w:val="28"/>
          <w:lang w:eastAsia="ru-RU"/>
        </w:rPr>
        <w:t xml:space="preserve">військового збору – 2,2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.; 1 працівник та 1 громадянин зареєструвалися як приватні підприємці, </w:t>
      </w:r>
      <w:bookmarkStart w:id="0" w:name="__DdeLink__35309_1161676357"/>
      <w:bookmarkEnd w:id="0"/>
      <w:r>
        <w:rPr>
          <w:sz w:val="28"/>
          <w:szCs w:val="28"/>
          <w:lang w:eastAsia="ru-RU"/>
        </w:rPr>
        <w:t xml:space="preserve">внаслідок чого сплачено єдиного податку на суму  0,7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результатами проведених спільних рейдів з питань легалізації виплати заробітної плати та зайнятості населення при міськвиконкомі проведено 3 засідання, на яких заслухано 54 керівника суб'єктів господарювання.</w:t>
      </w:r>
    </w:p>
    <w:p w:rsidR="003D68B2" w:rsidRDefault="003D68B2" w:rsidP="003D68B2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 Управління </w:t>
      </w:r>
      <w:proofErr w:type="spellStart"/>
      <w:r>
        <w:rPr>
          <w:sz w:val="28"/>
          <w:szCs w:val="28"/>
          <w:lang w:eastAsia="ru-RU"/>
        </w:rPr>
        <w:t>Держпраці</w:t>
      </w:r>
      <w:proofErr w:type="spellEnd"/>
      <w:r>
        <w:rPr>
          <w:sz w:val="28"/>
          <w:szCs w:val="28"/>
          <w:lang w:eastAsia="ru-RU"/>
        </w:rPr>
        <w:t xml:space="preserve"> у Полтавській області передано інформацію по 6 ФОП та 4 юридичним особам для вжиття відповідних заходів реагування з питання використання праці неоформлених найманих працівників.</w:t>
      </w:r>
    </w:p>
    <w:p w:rsidR="003D68B2" w:rsidRDefault="003D68B2" w:rsidP="003D68B2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метою повної та своєчасної сплати земельного податку  у січні-березні           2018 року Кременчуцькою ОДПІ ГУ ДФС у Полтавській області проводилась роз’яснювальна робота у ЗМІ, підготовлено 8 інформаційних матеріалів з зазначеної тематики. Висвітлено 7 повідомлень – на радіо, 4 – у пресі та 17 -  в інтернет-виданнях та на сайтах органів влади.</w:t>
      </w:r>
    </w:p>
    <w:p w:rsidR="003D68B2" w:rsidRDefault="003D68B2" w:rsidP="003D68B2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метою забезпечення повноти декларування та сплати акцизного податку з роздрібного продажу підакцизних товарів (алкогольні напої, пиво, тютюнові вироби) з початку року забезпечено: проведення співбесід з платниками; проведення звірки платників, які подали декларації акцизного податку, з  базою даних діючих ліцензій на роздрібну торгівлю алкогольними напоями та тютюновими виробами; подання декларацій акцизного податку всіма без винятку суб’єктами господарювання, які мають ліцензії на право роздрібної торгівлі алкогольними напоями та тютюновими виробами.</w:t>
      </w:r>
    </w:p>
    <w:p w:rsidR="003D68B2" w:rsidRDefault="003D68B2" w:rsidP="003D68B2">
      <w:pPr>
        <w:ind w:firstLine="720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З метою доведення до платників актуальної інформації з питань застосування податкового законодавства щодо нарахування та сплати податку на нерухоме майно та транспортного податку з початку року підготовлено                     4 інформаційних матеріали «Новації в нарахуванні та сплаті податку на нерухоме майно, відмінне від земельної ділянки». У ЗМІ розміщено 10 матеріалів, в тому числі: висвітлено на радіо – 6 повідомлень, в інтернет-виданнях – 2, на сайтах органів влади – 2.</w:t>
      </w:r>
    </w:p>
    <w:p w:rsidR="003D68B2" w:rsidRDefault="003D68B2" w:rsidP="003D68B2">
      <w:pPr>
        <w:ind w:firstLine="720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lastRenderedPageBreak/>
        <w:t xml:space="preserve">Станом на 01.01.2018 до міського бюджету м. Кременчука рахувалось податкового боргу  без врахування банкрутів  – 18 514,3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., станом на 01.04.2018 - </w:t>
      </w:r>
      <w:r>
        <w:rPr>
          <w:kern w:val="2"/>
          <w:sz w:val="28"/>
          <w:szCs w:val="28"/>
          <w:lang w:eastAsia="zh-CN" w:bidi="hi-IN"/>
        </w:rPr>
        <w:t xml:space="preserve">15 936,7 </w:t>
      </w:r>
      <w:r>
        <w:rPr>
          <w:kern w:val="2"/>
          <w:sz w:val="28"/>
          <w:szCs w:val="28"/>
          <w:lang w:eastAsia="ru-RU"/>
        </w:rPr>
        <w:t xml:space="preserve">тис. грн. або сума боргу зменшилась на 13,9%                          /-/ 2 577,6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 </w:t>
      </w:r>
    </w:p>
    <w:p w:rsidR="003D68B2" w:rsidRDefault="003D68B2" w:rsidP="003D68B2">
      <w:pPr>
        <w:ind w:firstLine="720"/>
        <w:jc w:val="both"/>
        <w:rPr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Протягом січня-березня 2018 року до суду направлено 4 позовні заяви щодо стягнення боргу на суму – 208,7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>.</w:t>
      </w:r>
    </w:p>
    <w:p w:rsidR="003D68B2" w:rsidRDefault="003D68B2" w:rsidP="003D68B2">
      <w:pPr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ВИДАТКИ</w:t>
      </w:r>
    </w:p>
    <w:p w:rsidR="003D68B2" w:rsidRDefault="003D68B2" w:rsidP="003D68B2">
      <w:pPr>
        <w:jc w:val="center"/>
        <w:rPr>
          <w:b/>
          <w:bCs/>
          <w:sz w:val="28"/>
          <w:szCs w:val="28"/>
          <w:lang w:eastAsia="ru-RU"/>
        </w:rPr>
      </w:pP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Видатки міського бюджету міста на 2018 рік були затверджені в обсязі              2 752 009,0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а саме: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видатки загального фонду міського бюджету – 2 365 205,2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у тому числі субвенції з державного бюджету та обласного бюджету  –                            1 235 451,8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 xml:space="preserve">. освітня – 202 727,9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медична  –                                 178 806,6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інші – 853 917,3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.),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видатки спеціального фонду міського бюджету – 386 803,7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у тому числі видатки, кошти на які передаються із загального фонду до бюджету розвитку – 336 219,5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Видатки на кредитування по спеціальному фонду передбачені в сумі 4 378,3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Відповідно до Бюджетного кодексу України здійснено горизонтальне вирівнювання податкоспроможності міського бюджету. Враховуючи вищезазначене визначена реверсна дотація до Державного бюджету у сумі               54 973,8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Протягом І кварталу поточного року видатки загального фонду  були зменшені на 2 850,4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в зв’язку зі збільшенням передачі їх із загального до спеціального фонду.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Затверджені видатки спеціального фонду були збільшені на                        16 009,0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>.: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за рахунок виділення коштів з залишків бюджетних коштів станом на 01.01.2018 – 12 517,6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за рахунок виділення трансфертів з державного бюджету  -                         641,0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за рахунок передачі із загального до спеціального фонду -                            2 850,4 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Кошторисні призначення бюджетних установ також були збільшені і за рахунок збільшення власних надходжень бюджетних установ спеціального фонду. </w:t>
      </w: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Таким чином затверджені видатки міського бюджету міста Кременчука на 2018 рік з урахуванням внесених змін складають 2 776 058,5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в тому числі:</w:t>
      </w: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видатки загального фонду міського бюджету затверджені в сумі 2 362 354,8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кошторисні призначення на рік з урахуванням внесених змін по спеціальному фонду складають 413 703,7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в тому числі бюджет розвитку – 361 722,9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Обсяг видатків </w:t>
      </w:r>
      <w:r>
        <w:rPr>
          <w:b/>
          <w:sz w:val="28"/>
          <w:szCs w:val="28"/>
          <w:lang w:eastAsia="ru-RU"/>
        </w:rPr>
        <w:t>загального фонду</w:t>
      </w:r>
      <w:r>
        <w:rPr>
          <w:sz w:val="28"/>
          <w:szCs w:val="28"/>
          <w:lang w:eastAsia="ru-RU"/>
        </w:rPr>
        <w:t xml:space="preserve"> міського бюджету на І квартал                   2018  року  передбачений в сумі 764 464,6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касові видатки склали 731 089,4 тис. грн., що складає 95,6% (касові видатки взяті зі звіту, наданого Управлінням Державної казначейської служби України у м. </w:t>
      </w:r>
      <w:proofErr w:type="spellStart"/>
      <w:r>
        <w:rPr>
          <w:sz w:val="28"/>
          <w:szCs w:val="28"/>
          <w:lang w:eastAsia="ru-RU"/>
        </w:rPr>
        <w:t>Кременчуці</w:t>
      </w:r>
      <w:proofErr w:type="spellEnd"/>
      <w:r>
        <w:rPr>
          <w:sz w:val="28"/>
          <w:szCs w:val="28"/>
          <w:lang w:eastAsia="ru-RU"/>
        </w:rPr>
        <w:t xml:space="preserve"> Полтавської області).</w:t>
      </w: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Структура видатків бюджету м. Кременчука за І квартал 2018 рік по основним галузям представлена у вигляді діаграми. </w:t>
      </w: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49530</wp:posOffset>
            </wp:positionV>
            <wp:extent cx="6136640" cy="424688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424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Реверсна дотація передбачена на рік в сумі 54 973,8 тис. грн. За І квартал 2018 року  було вилучено 13 743,3 тис. грн. при плані 13 743,3 тис. грн., тобто  100%.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рахунок резервного  фонду з міського бюджету за І квартал 2018  року виділено 2,2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 профінансовано 2,2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Видатки загального фонду на оплату праці і нарахування на заробітну плату працівникам бюджетної сфери (з урахуванням видатків згідно планів використання по галузі «Охорона здоров’я») за І квартал 2018 року склали 221 </w:t>
      </w:r>
      <w:r>
        <w:rPr>
          <w:sz w:val="28"/>
          <w:szCs w:val="28"/>
          <w:lang w:val="ru-RU" w:eastAsia="ru-RU"/>
        </w:rPr>
        <w:t>402,0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при планових призначеннях 223 </w:t>
      </w:r>
      <w:r>
        <w:rPr>
          <w:sz w:val="28"/>
          <w:szCs w:val="28"/>
          <w:lang w:val="ru-RU" w:eastAsia="ru-RU"/>
        </w:rPr>
        <w:t>823,5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що складає </w:t>
      </w:r>
      <w:r>
        <w:rPr>
          <w:sz w:val="28"/>
          <w:szCs w:val="28"/>
          <w:lang w:eastAsia="ru-RU"/>
        </w:rPr>
        <w:lastRenderedPageBreak/>
        <w:t>98,9%. Питома вага видатків на заробітну плату з нарахуваннями в загальних видатках склала 30,3%.</w:t>
      </w: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Заборгованість по виплаті заробітної плати з нарахуваннями працівникам бюджетних установ станом  на 01.04.2018 відсутня.</w:t>
      </w:r>
    </w:p>
    <w:p w:rsidR="003D68B2" w:rsidRDefault="003D68B2" w:rsidP="003D68B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3D68B2" w:rsidRDefault="003D68B2" w:rsidP="003D68B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Видатки на медикаменти (з урахуванням видатків згідно планів використання по галузі «Охорона здоров’я») при плані на І квартал 2018 року  4 162,9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склали 4 099,4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що становить 98,5%. Питома вага від загальних витрат загального фонду 0,6%.</w:t>
      </w:r>
    </w:p>
    <w:p w:rsidR="003D68B2" w:rsidRDefault="003D68B2" w:rsidP="003D68B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Видатки на  продукти   харчування (з урахуванням видатків згідно планів використання по галузі «Охорона здоров’я») при плані 8 165,6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 склали 7 940,3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що становить 97,2%. Питома вага від загальних витрат загального фонду 1,1%. 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Видатки загального фонду на оплату комунальних послуг та енергоносіїв  (з урахуванням видатків згідно планів використання по галузі «Охорона здоров’я»)</w:t>
      </w:r>
      <w:r>
        <w:rPr>
          <w:b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 плані на І квартал поточного року 45 04</w:t>
      </w:r>
      <w:r>
        <w:rPr>
          <w:sz w:val="28"/>
          <w:szCs w:val="28"/>
          <w:lang w:val="ru-RU" w:eastAsia="ru-RU"/>
        </w:rPr>
        <w:t>2,6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склали 40 89</w:t>
      </w:r>
      <w:r>
        <w:rPr>
          <w:sz w:val="28"/>
          <w:szCs w:val="28"/>
          <w:lang w:val="ru-RU" w:eastAsia="ru-RU"/>
        </w:rPr>
        <w:t>2,6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що становить 90,8%. Питома вага від загальних витрат загального фонду – 5,6%.  На кінець звітного періоду відсутня кредиторська заборгованість.</w:t>
      </w:r>
    </w:p>
    <w:p w:rsidR="003D68B2" w:rsidRDefault="003D68B2" w:rsidP="003D68B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Поточні трансферти на соціальне забезпечення при плані                        370 125,8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склали 363 255,4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відповідно 98,2% та 49,7% від загальних витрат.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Станом на 01.04.2018 виникла кредиторська заборгованість по загальному фонду в сумі 197 358,9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головним чином це заборгованість по субвенції з державного бюджету на пільги та субсидії, яка виникла через недофінансування з державного бюджету та буде погашена по мірі надходження коштів.</w:t>
      </w: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Касові видатки по </w:t>
      </w:r>
      <w:r>
        <w:rPr>
          <w:b/>
          <w:sz w:val="28"/>
          <w:szCs w:val="28"/>
          <w:lang w:eastAsia="ru-RU"/>
        </w:rPr>
        <w:t>спеціальному фонду</w:t>
      </w:r>
      <w:r>
        <w:rPr>
          <w:sz w:val="28"/>
          <w:szCs w:val="28"/>
          <w:lang w:eastAsia="ru-RU"/>
        </w:rPr>
        <w:t>, з урахуванням кредитування, за І квартал 2018 року склали 52 437,6 тис. грн., при  уточнених річних обсягах кошторисних призначень – 413 703,7 тис. грн.,  що складає 12,7%.</w:t>
      </w:r>
    </w:p>
    <w:p w:rsidR="003D68B2" w:rsidRDefault="003D68B2" w:rsidP="003D68B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оплату праці і нарахування на заробітну плату направлено                       643,1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(заробітна плата працівників, які надають платні послуги в бюджетних установах відповідно до законодавства). На придбання медикаментів витрачено – 1,4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продуктів харчування – 3 394,4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оплату комунальних послуг та енергоносіїв – 163,7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Капітальні видатки спеціального фонду бюджету заплановані на рік з урахуванням змін в сумі 359 132,5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 в тому числі бюджет розвитку – 355 426,9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за звітний період склали 40 269,6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тобто 11,2%.</w:t>
      </w:r>
    </w:p>
    <w:p w:rsidR="003D68B2" w:rsidRDefault="003D68B2" w:rsidP="003D68B2">
      <w:pPr>
        <w:widowControl w:val="0"/>
        <w:tabs>
          <w:tab w:val="num" w:pos="126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 - комунальних послуг (інваліди по зору, почесні громадяни міста, сім’ї загиблих воїнів-афганців,</w:t>
      </w:r>
      <w:r>
        <w:rPr>
          <w:kern w:val="2"/>
          <w:sz w:val="28"/>
          <w:szCs w:val="28"/>
          <w:lang w:eastAsia="ru-RU"/>
        </w:rPr>
        <w:t xml:space="preserve"> пільги учасникам АТО та членам їх сімей на послуги з утримання будинків і споруд та </w:t>
      </w:r>
      <w:r>
        <w:rPr>
          <w:kern w:val="2"/>
          <w:sz w:val="28"/>
          <w:szCs w:val="28"/>
          <w:lang w:eastAsia="ru-RU"/>
        </w:rPr>
        <w:lastRenderedPageBreak/>
        <w:t>прибудинкових територій</w:t>
      </w:r>
      <w:r>
        <w:rPr>
          <w:sz w:val="28"/>
          <w:szCs w:val="28"/>
          <w:lang w:eastAsia="ru-RU"/>
        </w:rPr>
        <w:t xml:space="preserve">) в міському бюджеті на 2018 рік  передбачено асигнування в сумі 1 929,2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  <w:r>
        <w:rPr>
          <w:kern w:val="2"/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асові видатки в І кварталі 2018 року склали 379,3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(19,7 % запланованих річних асигнувань і 65,0% плану на звітний період).</w:t>
      </w:r>
    </w:p>
    <w:p w:rsidR="003D68B2" w:rsidRDefault="003D68B2" w:rsidP="003D68B2">
      <w:pPr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Видатки із міського бюджету на житлово - комунальне господарств на 2018 рік визначено в сумі 199 307,2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(з них загальний фонд (видатки споживання) –  98 555,3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спеціальний фонд (бюджет розвитку) – 100 751,9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.). Видатки на житлово-комунальне господарство розподіляються таким чином:  утримання та ефективна експлуатація об’єктів житлово - комунального господарства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23 713,5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забезпечення функціонування підприємств, установ та організацій, що виробляють, виконують та/або надають житлово - комунальні послуги – 27 994,4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організація благоустрою населених пунктів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77 417,8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реалізація державних та місцевих житлових програм – 6 810,7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.;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інша діяльність у сфері житлово - комунального господарства – 63 370,8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Касові видатки за І квартал 2018 року на житлово - комунальне господарство склали 34 636,1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(17,4 % запланованих річних асигнувань і 55,3% плану на звітний період), 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>. утримання та ефективна експлуатація об’єктів житлово - комунального господарства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1 334,3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забезпечення функціонування підприємств, установ та організацій, що виробляють, виконують та/або надають житлово-комунальні послуги – 16 192,1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організація благоустрою населених пунктів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14 976,8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.;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інша діяльність у сфері житлово - комунального господарства – 2 132,9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</w:p>
    <w:p w:rsidR="003D68B2" w:rsidRDefault="003D68B2" w:rsidP="003D68B2">
      <w:pPr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заходи щодо виконання міської програми «Програма реалізації Основних напрямів земельної реформи на 2018  р. в </w:t>
      </w:r>
      <w:proofErr w:type="spellStart"/>
      <w:r>
        <w:rPr>
          <w:sz w:val="28"/>
          <w:szCs w:val="28"/>
          <w:lang w:eastAsia="ru-RU"/>
        </w:rPr>
        <w:t>м.Кременчуці</w:t>
      </w:r>
      <w:proofErr w:type="spellEnd"/>
      <w:r>
        <w:rPr>
          <w:sz w:val="28"/>
          <w:szCs w:val="28"/>
          <w:lang w:eastAsia="ru-RU"/>
        </w:rPr>
        <w:t xml:space="preserve">» передбачені асигнування в сумі 2 415,0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в  І кварталі 2018 року склали 1,4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що складає 0,06% річного плану і 0,2% плану звітного періоду. </w:t>
      </w:r>
    </w:p>
    <w:p w:rsidR="003D68B2" w:rsidRDefault="003D68B2" w:rsidP="003D68B2">
      <w:pPr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утримання та розвиток наземного електротранспорту на  2018 рік передбачені видатки в сумі  46 830,4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за  І квартал              2018 року склали  9 357,4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(19,9 % запланованих річних асигнувань і 54,6% плану на звітний період).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утримання та розвиток автомобільних доріг та дорожньої інфраструктури на 2018 рік передбачено асигнування в сумі 75 848,1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в І кварталі 2018 року склали  9 733,4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що складає 12,8% річного плану і 43,7% плану звітного періоду. 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сприяння розвитку малого та середнього підприємництва в міському бюджеті на 2018 рік відповідно до міської програми «Програма розвитку малого підприємництва у </w:t>
      </w:r>
      <w:proofErr w:type="spellStart"/>
      <w:r>
        <w:rPr>
          <w:sz w:val="28"/>
          <w:szCs w:val="28"/>
          <w:lang w:eastAsia="ru-RU"/>
        </w:rPr>
        <w:t>м.Кременчуці</w:t>
      </w:r>
      <w:proofErr w:type="spellEnd"/>
      <w:r>
        <w:rPr>
          <w:sz w:val="28"/>
          <w:szCs w:val="28"/>
          <w:lang w:eastAsia="ru-RU"/>
        </w:rPr>
        <w:t xml:space="preserve"> на 2018 - 2020 роки» передбачено асигнування в сумі 400,0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за звітний період склали                 17,8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(4,4% річного плану і 20,2% плану на звітний період).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На заходи з енергозбереження</w:t>
      </w:r>
      <w:r>
        <w:rPr>
          <w:sz w:val="28"/>
          <w:szCs w:val="28"/>
          <w:lang w:eastAsia="ru-RU"/>
        </w:rPr>
        <w:t xml:space="preserve"> передбачено асигнування в сумі                     1000,0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  <w:r>
        <w:rPr>
          <w:kern w:val="2"/>
          <w:sz w:val="28"/>
          <w:szCs w:val="28"/>
          <w:lang w:eastAsia="ru-RU"/>
        </w:rPr>
        <w:t>На виконання «Програми стимулювання впровадження енергозберігаючих заходів у будинках об</w:t>
      </w:r>
      <w:r>
        <w:rPr>
          <w:sz w:val="28"/>
          <w:szCs w:val="28"/>
          <w:lang w:eastAsia="ru-RU"/>
        </w:rPr>
        <w:t>’</w:t>
      </w:r>
      <w:r>
        <w:rPr>
          <w:kern w:val="2"/>
          <w:sz w:val="28"/>
          <w:szCs w:val="28"/>
          <w:lang w:eastAsia="ru-RU"/>
        </w:rPr>
        <w:t xml:space="preserve">єднань співвласників багатоквартирних будинків та житлово - будівельних кооперативів                            </w:t>
      </w:r>
      <w:r>
        <w:rPr>
          <w:kern w:val="2"/>
          <w:sz w:val="28"/>
          <w:szCs w:val="28"/>
          <w:lang w:eastAsia="ru-RU"/>
        </w:rPr>
        <w:lastRenderedPageBreak/>
        <w:t xml:space="preserve">м. Кременчука на 2015 - 2020 роки» </w:t>
      </w:r>
      <w:r>
        <w:rPr>
          <w:sz w:val="28"/>
          <w:szCs w:val="28"/>
          <w:lang w:eastAsia="ru-RU"/>
        </w:rPr>
        <w:t xml:space="preserve"> касові видатки за звітний період склали 29,0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</w:t>
      </w:r>
      <w:r>
        <w:rPr>
          <w:kern w:val="2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(2,9% річного плану і 8,7% плану на звітний період).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проведення експертної грошової оцінки земельних ділянок несільськогосподарського призначення, що підлягають продажу в 2018 році, передбачено асигнування в сумі 50,0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Касові видатки в звітному періоді не проводились.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Внески міської ради до статутного капіталу суб’єктів господарювання визначені в сумі – 30 293,5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>. комунальному підприємству «</w:t>
      </w:r>
      <w:proofErr w:type="spellStart"/>
      <w:r>
        <w:rPr>
          <w:sz w:val="28"/>
          <w:szCs w:val="28"/>
          <w:lang w:eastAsia="ru-RU"/>
        </w:rPr>
        <w:t>Кременчукводоканал</w:t>
      </w:r>
      <w:proofErr w:type="spellEnd"/>
      <w:r>
        <w:rPr>
          <w:sz w:val="28"/>
          <w:szCs w:val="28"/>
          <w:lang w:eastAsia="ru-RU"/>
        </w:rPr>
        <w:t xml:space="preserve">» – 20 993,5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,  КП «</w:t>
      </w:r>
      <w:proofErr w:type="spellStart"/>
      <w:r>
        <w:rPr>
          <w:sz w:val="28"/>
          <w:szCs w:val="28"/>
          <w:lang w:eastAsia="ru-RU"/>
        </w:rPr>
        <w:t>Теплоенерго</w:t>
      </w:r>
      <w:proofErr w:type="spellEnd"/>
      <w:r>
        <w:rPr>
          <w:sz w:val="28"/>
          <w:szCs w:val="28"/>
          <w:lang w:eastAsia="ru-RU"/>
        </w:rPr>
        <w:t xml:space="preserve">» – 9 300,0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noProof/>
          <w:sz w:val="28"/>
          <w:szCs w:val="28"/>
          <w:lang w:eastAsia="ru-RU"/>
        </w:rPr>
        <w:t>. Касові видатки у звітному періоді склали 11 053,0 тис.грн.,</w:t>
      </w:r>
      <w:r>
        <w:rPr>
          <w:sz w:val="28"/>
          <w:szCs w:val="28"/>
          <w:lang w:eastAsia="ru-RU"/>
        </w:rPr>
        <w:t xml:space="preserve"> що дорівнює 36,3% річного плану та 71,1% виконання плану за звітний період).</w:t>
      </w:r>
    </w:p>
    <w:p w:rsidR="003D68B2" w:rsidRDefault="003D68B2" w:rsidP="003D68B2">
      <w:pPr>
        <w:keepNext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підтримки засобів масової інформації (газети «Вісник Кременчука» та міської телерадіокомпанії) в міському бюджеті на 2018 рік передбачено кошти в сумі 7 662,3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касові видатки за І квартал 2018 року склали                         2 150,7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(28,0% річного плану і 73,3% плану на звітний період).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будівництво, реконструкцію на 2018 рік передбачено асигнування в сумі  96 541,6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Касові видатки за І квартал 2018 року склали  9 351,3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 (9,7% річного плану і 21,9% плану на звітний період).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міському бюджеті на 2018 рік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передбачено надати пільгові довгострокові кредити громадянам на будівництво (реконструкцію) та придбання житла в сумі 5 178,3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в звітному періоді склали 1 365,6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що дорівнює 26,2% річного плану та 44,0% виконання плану за звітний період.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Повернення раніше наданих кредитів та відсотків за користування ними при плані 834,0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в звітному періоді склало 93,0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що дорівнює 11,2% річного плану та 100% виконанню плану за звітний період.</w:t>
      </w: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eastAsia="ru-RU"/>
        </w:rPr>
      </w:pP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Інформація щодо наданих місцевих гарантій</w:t>
      </w: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eastAsia="ru-RU"/>
        </w:rPr>
      </w:pPr>
    </w:p>
    <w:p w:rsidR="003D68B2" w:rsidRDefault="003D68B2" w:rsidP="003D68B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Відповідно до статті VІ Договору про </w:t>
      </w:r>
      <w:proofErr w:type="spellStart"/>
      <w:r>
        <w:rPr>
          <w:sz w:val="28"/>
          <w:szCs w:val="28"/>
          <w:lang w:eastAsia="ru-RU"/>
        </w:rPr>
        <w:t>субкредитування</w:t>
      </w:r>
      <w:proofErr w:type="spellEnd"/>
      <w:r>
        <w:rPr>
          <w:sz w:val="28"/>
          <w:szCs w:val="28"/>
          <w:lang w:eastAsia="ru-RU"/>
        </w:rPr>
        <w:t xml:space="preserve">  №28010-02/11  від 27.01.2010 між Міністерством фінансів України, Міністерством з питань житлово - комунального господарства України та комунальним підприємством «</w:t>
      </w:r>
      <w:proofErr w:type="spellStart"/>
      <w:r>
        <w:rPr>
          <w:sz w:val="28"/>
          <w:szCs w:val="28"/>
          <w:lang w:eastAsia="ru-RU"/>
        </w:rPr>
        <w:t>Кременчукводоканал</w:t>
      </w:r>
      <w:proofErr w:type="spellEnd"/>
      <w:r>
        <w:rPr>
          <w:sz w:val="28"/>
          <w:szCs w:val="28"/>
          <w:lang w:eastAsia="ru-RU"/>
        </w:rPr>
        <w:t xml:space="preserve">» «Про використання сум позики, що надається Україні Міжнародним банком реконструкції та розвитку» (Угода про позику «Проект розвитку міської інфраструктури» №4869-UA від 26.05.2008 року) засобом забезпечення виконання </w:t>
      </w:r>
      <w:proofErr w:type="spellStart"/>
      <w:r>
        <w:rPr>
          <w:sz w:val="28"/>
          <w:szCs w:val="28"/>
          <w:lang w:eastAsia="ru-RU"/>
        </w:rPr>
        <w:t>субпозичальником</w:t>
      </w:r>
      <w:proofErr w:type="spellEnd"/>
      <w:r>
        <w:rPr>
          <w:sz w:val="28"/>
          <w:szCs w:val="28"/>
          <w:lang w:eastAsia="ru-RU"/>
        </w:rPr>
        <w:t xml:space="preserve"> своїх зобов’язань є гарантія Кременчуцької міської ради від 21.08.2009 №1, надана Кременчуцькою міською радою Міністерству фінансів України. </w:t>
      </w:r>
    </w:p>
    <w:p w:rsidR="003D68B2" w:rsidRDefault="003D68B2" w:rsidP="003D68B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Загальна сума </w:t>
      </w:r>
      <w:proofErr w:type="spellStart"/>
      <w:r>
        <w:rPr>
          <w:sz w:val="28"/>
          <w:szCs w:val="28"/>
          <w:lang w:eastAsia="ru-RU"/>
        </w:rPr>
        <w:t>субкредиту</w:t>
      </w:r>
      <w:proofErr w:type="spellEnd"/>
      <w:r>
        <w:rPr>
          <w:sz w:val="28"/>
          <w:szCs w:val="28"/>
          <w:lang w:eastAsia="ru-RU"/>
        </w:rPr>
        <w:t xml:space="preserve"> відповідно до Додаткової Угоди  від 01 квітня 2016 року № 28010-02/11-3 до Договору про </w:t>
      </w:r>
      <w:proofErr w:type="spellStart"/>
      <w:r>
        <w:rPr>
          <w:sz w:val="28"/>
          <w:szCs w:val="28"/>
          <w:lang w:eastAsia="ru-RU"/>
        </w:rPr>
        <w:t>субкредитування</w:t>
      </w:r>
      <w:proofErr w:type="spellEnd"/>
      <w:r>
        <w:rPr>
          <w:sz w:val="28"/>
          <w:szCs w:val="28"/>
          <w:lang w:eastAsia="ru-RU"/>
        </w:rPr>
        <w:t xml:space="preserve"> №28010-02/11   від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27.01.2010 складає 6 528 743,88 </w:t>
      </w:r>
      <w:proofErr w:type="spellStart"/>
      <w:r>
        <w:rPr>
          <w:sz w:val="28"/>
          <w:szCs w:val="28"/>
          <w:lang w:eastAsia="ru-RU"/>
        </w:rPr>
        <w:t>дол</w:t>
      </w:r>
      <w:proofErr w:type="spellEnd"/>
      <w:r>
        <w:rPr>
          <w:sz w:val="28"/>
          <w:szCs w:val="28"/>
          <w:lang w:eastAsia="ru-RU"/>
        </w:rPr>
        <w:t xml:space="preserve">. США.  У відповідності до графіку погашення основної суми </w:t>
      </w:r>
      <w:proofErr w:type="spellStart"/>
      <w:r>
        <w:rPr>
          <w:sz w:val="28"/>
          <w:szCs w:val="28"/>
          <w:lang w:eastAsia="ru-RU"/>
        </w:rPr>
        <w:t>субкредиту</w:t>
      </w:r>
      <w:proofErr w:type="spellEnd"/>
      <w:r>
        <w:rPr>
          <w:sz w:val="28"/>
          <w:szCs w:val="28"/>
          <w:lang w:eastAsia="ru-RU"/>
        </w:rPr>
        <w:t xml:space="preserve"> останній платіж передбачається                      15 жовтня 2027 року. </w:t>
      </w:r>
    </w:p>
    <w:p w:rsidR="003D68B2" w:rsidRDefault="003D68B2" w:rsidP="003D68B2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2018 році погашення основної суми </w:t>
      </w:r>
      <w:proofErr w:type="spellStart"/>
      <w:r>
        <w:rPr>
          <w:sz w:val="28"/>
          <w:szCs w:val="28"/>
          <w:lang w:eastAsia="ru-RU"/>
        </w:rPr>
        <w:t>субкредиту</w:t>
      </w:r>
      <w:proofErr w:type="spellEnd"/>
      <w:r>
        <w:rPr>
          <w:sz w:val="28"/>
          <w:szCs w:val="28"/>
          <w:lang w:eastAsia="ru-RU"/>
        </w:rPr>
        <w:t xml:space="preserve"> передбачається здійснити двома </w:t>
      </w:r>
      <w:proofErr w:type="spellStart"/>
      <w:r>
        <w:rPr>
          <w:sz w:val="28"/>
          <w:szCs w:val="28"/>
          <w:lang w:eastAsia="ru-RU"/>
        </w:rPr>
        <w:t>платежами</w:t>
      </w:r>
      <w:proofErr w:type="spellEnd"/>
      <w:r>
        <w:rPr>
          <w:sz w:val="28"/>
          <w:szCs w:val="28"/>
          <w:lang w:eastAsia="ru-RU"/>
        </w:rPr>
        <w:t xml:space="preserve"> 15 квітня 2018 року та 15 жовтня 2018 року  в </w:t>
      </w:r>
      <w:r>
        <w:rPr>
          <w:sz w:val="28"/>
          <w:szCs w:val="28"/>
          <w:lang w:eastAsia="ru-RU"/>
        </w:rPr>
        <w:lastRenderedPageBreak/>
        <w:t xml:space="preserve">загальній сумі 431 748,26 </w:t>
      </w:r>
      <w:proofErr w:type="spellStart"/>
      <w:r>
        <w:rPr>
          <w:sz w:val="28"/>
          <w:szCs w:val="28"/>
          <w:lang w:eastAsia="ru-RU"/>
        </w:rPr>
        <w:t>дол</w:t>
      </w:r>
      <w:proofErr w:type="spellEnd"/>
      <w:r>
        <w:rPr>
          <w:sz w:val="28"/>
          <w:szCs w:val="28"/>
          <w:lang w:eastAsia="ru-RU"/>
        </w:rPr>
        <w:t xml:space="preserve">. США. Сплата відсотків та маржі відповідно до договору буде здійснювались двічі на рік 15 квітня і 15 жовтня 2018 року. 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Видатки на виконання наданих місцевих гарантій на 2018 рік визначені в сумі 2300,5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 Касові видатки в звітному періоді  не проводились.</w:t>
      </w:r>
    </w:p>
    <w:p w:rsidR="003D68B2" w:rsidRDefault="003D68B2" w:rsidP="003D68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2018 році планується залучити кредит ЕБРР в сумі 5 224,1 тис. євро  (загальна сума кредиту 8 000,0 тис. євро) під місцеву гарантію. Мета кредиту – оновлення міського електротранспорту шляхом закупівлі тролейбусів для               КП «Кременчуцьке тролейбусне управління». Видатки на виконання місцевих гарантій по кредиту ЕБРР на 2018 рік визначені в сумі 15 154,0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 Касові видатки в звітному періоді  склали 1 452,4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>., що дорівнює 9,6% річного плану та 22,1% виконання плану за звітний період.</w:t>
      </w:r>
    </w:p>
    <w:p w:rsidR="003D68B2" w:rsidRDefault="003D68B2" w:rsidP="003D68B2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В 2018 році планується залучити кредит ЕБРР в сумі 3 000,0 тис. євро (загальна сума кредиту 7 500,0 тис. євро) під місцеву гарантію. Мета кредиту - </w:t>
      </w:r>
      <w:r>
        <w:rPr>
          <w:sz w:val="28"/>
          <w:szCs w:val="28"/>
          <w:lang w:eastAsia="ru-RU"/>
        </w:rPr>
        <w:t xml:space="preserve">реалізація низки договорів </w:t>
      </w:r>
      <w:proofErr w:type="spellStart"/>
      <w:r>
        <w:rPr>
          <w:sz w:val="28"/>
          <w:szCs w:val="28"/>
          <w:lang w:eastAsia="ru-RU"/>
        </w:rPr>
        <w:t>енергосервісного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підряду</w:t>
      </w:r>
      <w:proofErr w:type="spellEnd"/>
      <w:r>
        <w:rPr>
          <w:sz w:val="28"/>
          <w:szCs w:val="28"/>
          <w:lang w:eastAsia="ru-RU"/>
        </w:rPr>
        <w:t xml:space="preserve">, пов’язаних з інвестиціями в енергоефективність громадських будівель, шляхом залучення приватних </w:t>
      </w:r>
      <w:proofErr w:type="spellStart"/>
      <w:r>
        <w:rPr>
          <w:sz w:val="28"/>
          <w:szCs w:val="28"/>
          <w:lang w:eastAsia="ru-RU"/>
        </w:rPr>
        <w:t>енергосервісних</w:t>
      </w:r>
      <w:proofErr w:type="spellEnd"/>
      <w:r>
        <w:rPr>
          <w:sz w:val="28"/>
          <w:szCs w:val="28"/>
          <w:lang w:eastAsia="ru-RU"/>
        </w:rPr>
        <w:t xml:space="preserve"> компаній</w:t>
      </w:r>
      <w:r>
        <w:rPr>
          <w:kern w:val="2"/>
          <w:sz w:val="28"/>
          <w:szCs w:val="28"/>
          <w:lang w:eastAsia="ru-RU"/>
        </w:rPr>
        <w:t xml:space="preserve">. Видатки на виконання місцевих гарантій по кредиту ЕБРР на 2018 рік визначені в сумі 4 575,0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>.</w:t>
      </w: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eastAsia="ru-RU"/>
        </w:rPr>
      </w:pP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Інформація</w:t>
      </w:r>
      <w:proofErr w:type="spellEnd"/>
      <w:r>
        <w:rPr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sz w:val="28"/>
          <w:szCs w:val="28"/>
          <w:lang w:val="ru-RU" w:eastAsia="ru-RU"/>
        </w:rPr>
        <w:t>щодо</w:t>
      </w:r>
      <w:proofErr w:type="spellEnd"/>
      <w:r>
        <w:rPr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sz w:val="28"/>
          <w:szCs w:val="28"/>
          <w:lang w:val="ru-RU" w:eastAsia="ru-RU"/>
        </w:rPr>
        <w:t>обслуговування</w:t>
      </w:r>
      <w:proofErr w:type="spellEnd"/>
      <w:r>
        <w:rPr>
          <w:b/>
          <w:sz w:val="28"/>
          <w:szCs w:val="28"/>
          <w:lang w:val="ru-RU" w:eastAsia="ru-RU"/>
        </w:rPr>
        <w:t xml:space="preserve"> боргу </w:t>
      </w:r>
      <w:proofErr w:type="spellStart"/>
      <w:proofErr w:type="gramStart"/>
      <w:r>
        <w:rPr>
          <w:b/>
          <w:sz w:val="28"/>
          <w:szCs w:val="28"/>
          <w:lang w:val="ru-RU" w:eastAsia="ru-RU"/>
        </w:rPr>
        <w:t>м</w:t>
      </w:r>
      <w:proofErr w:type="gramEnd"/>
      <w:r>
        <w:rPr>
          <w:b/>
          <w:sz w:val="28"/>
          <w:szCs w:val="28"/>
          <w:lang w:val="ru-RU" w:eastAsia="ru-RU"/>
        </w:rPr>
        <w:t>іського</w:t>
      </w:r>
      <w:proofErr w:type="spellEnd"/>
      <w:r>
        <w:rPr>
          <w:b/>
          <w:sz w:val="28"/>
          <w:szCs w:val="28"/>
          <w:lang w:val="ru-RU" w:eastAsia="ru-RU"/>
        </w:rPr>
        <w:t xml:space="preserve"> бюджету, </w:t>
      </w: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обсягі</w:t>
      </w:r>
      <w:proofErr w:type="gramStart"/>
      <w:r>
        <w:rPr>
          <w:b/>
          <w:sz w:val="28"/>
          <w:szCs w:val="28"/>
          <w:lang w:val="ru-RU" w:eastAsia="ru-RU"/>
        </w:rPr>
        <w:t>в</w:t>
      </w:r>
      <w:proofErr w:type="spellEnd"/>
      <w:proofErr w:type="gramEnd"/>
      <w:r>
        <w:rPr>
          <w:b/>
          <w:sz w:val="28"/>
          <w:szCs w:val="28"/>
          <w:lang w:val="ru-RU" w:eastAsia="ru-RU"/>
        </w:rPr>
        <w:t xml:space="preserve"> та умов </w:t>
      </w:r>
      <w:proofErr w:type="spellStart"/>
      <w:r>
        <w:rPr>
          <w:b/>
          <w:sz w:val="28"/>
          <w:szCs w:val="28"/>
          <w:lang w:val="ru-RU" w:eastAsia="ru-RU"/>
        </w:rPr>
        <w:t>запозичень</w:t>
      </w:r>
      <w:proofErr w:type="spellEnd"/>
      <w:r>
        <w:rPr>
          <w:b/>
          <w:sz w:val="28"/>
          <w:szCs w:val="28"/>
          <w:lang w:val="ru-RU" w:eastAsia="ru-RU"/>
        </w:rPr>
        <w:t xml:space="preserve"> </w:t>
      </w:r>
    </w:p>
    <w:p w:rsidR="003D68B2" w:rsidRDefault="003D68B2" w:rsidP="003D68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3D68B2" w:rsidRDefault="003D68B2" w:rsidP="003D68B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кредитному договору між «Північною екологічною фінансовою корпорацією» (НЕФКО) та Кременчуцькою міською радою, метою якого є </w:t>
      </w:r>
      <w:r>
        <w:rPr>
          <w:kern w:val="2"/>
          <w:sz w:val="28"/>
          <w:szCs w:val="28"/>
          <w:lang w:eastAsia="ru-RU"/>
        </w:rPr>
        <w:t>фінансування впровадження заходів проекту «Технічне переоснащення та модернізація вуличного освітлення міста Кременчук Полтавської області» (</w:t>
      </w:r>
      <w:proofErr w:type="spellStart"/>
      <w:r>
        <w:rPr>
          <w:kern w:val="2"/>
          <w:sz w:val="28"/>
          <w:szCs w:val="28"/>
          <w:lang w:eastAsia="ru-RU"/>
        </w:rPr>
        <w:t>вул.Халаменюка</w:t>
      </w:r>
      <w:proofErr w:type="spellEnd"/>
      <w:r>
        <w:rPr>
          <w:kern w:val="2"/>
          <w:sz w:val="28"/>
          <w:szCs w:val="28"/>
          <w:lang w:eastAsia="ru-RU"/>
        </w:rPr>
        <w:t xml:space="preserve"> – проспект Свободи та проспект Лесі Українки), в 2018 році на обслуговування кредиту (сплату відсотків) передбачені видатки в сумі             150,0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 xml:space="preserve">., на погашення основної суми боргу по запозиченню                     1 542,76 </w:t>
      </w:r>
      <w:proofErr w:type="spellStart"/>
      <w:r>
        <w:rPr>
          <w:kern w:val="2"/>
          <w:sz w:val="28"/>
          <w:szCs w:val="28"/>
          <w:lang w:eastAsia="ru-RU"/>
        </w:rPr>
        <w:t>тис.грн</w:t>
      </w:r>
      <w:proofErr w:type="spellEnd"/>
      <w:r>
        <w:rPr>
          <w:kern w:val="2"/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Касові видатки в звітному періоді</w:t>
      </w:r>
      <w:r>
        <w:rPr>
          <w:kern w:val="2"/>
          <w:sz w:val="28"/>
          <w:szCs w:val="28"/>
          <w:lang w:eastAsia="ru-RU"/>
        </w:rPr>
        <w:t xml:space="preserve"> на погашення основної суми боргу по запозиченню склали</w:t>
      </w:r>
      <w:r>
        <w:rPr>
          <w:sz w:val="28"/>
          <w:szCs w:val="28"/>
          <w:lang w:eastAsia="ru-RU"/>
        </w:rPr>
        <w:t xml:space="preserve">  105,2 </w:t>
      </w:r>
      <w:proofErr w:type="spellStart"/>
      <w:r>
        <w:rPr>
          <w:sz w:val="28"/>
          <w:szCs w:val="28"/>
          <w:lang w:eastAsia="ru-RU"/>
        </w:rPr>
        <w:t>тис.грн</w:t>
      </w:r>
      <w:proofErr w:type="spellEnd"/>
      <w:r>
        <w:rPr>
          <w:sz w:val="28"/>
          <w:szCs w:val="28"/>
          <w:lang w:eastAsia="ru-RU"/>
        </w:rPr>
        <w:t xml:space="preserve">., на обслуговування кредиту (сплату відсотків)-  11,0 тис. грн. </w:t>
      </w:r>
    </w:p>
    <w:p w:rsidR="003D68B2" w:rsidRDefault="003D68B2" w:rsidP="003D68B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rPr>
          <w:b/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1440"/>
        </w:tabs>
        <w:suppressAutoHyphens/>
        <w:rPr>
          <w:b/>
          <w:sz w:val="28"/>
          <w:szCs w:val="28"/>
          <w:lang w:eastAsia="ru-RU"/>
        </w:rPr>
      </w:pPr>
    </w:p>
    <w:p w:rsidR="003D68B2" w:rsidRDefault="003D68B2" w:rsidP="003D68B2">
      <w:pPr>
        <w:widowControl w:val="0"/>
        <w:tabs>
          <w:tab w:val="left" w:pos="709"/>
          <w:tab w:val="left" w:pos="1440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Заступник міського голови – </w:t>
      </w:r>
    </w:p>
    <w:p w:rsidR="003D68B2" w:rsidRDefault="003D68B2" w:rsidP="003D68B2">
      <w:pPr>
        <w:widowControl w:val="0"/>
        <w:tabs>
          <w:tab w:val="left" w:pos="709"/>
          <w:tab w:val="left" w:pos="1440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директор Департаменту</w:t>
      </w:r>
      <w:r w:rsidR="005B5DD6">
        <w:rPr>
          <w:b/>
          <w:sz w:val="28"/>
          <w:szCs w:val="28"/>
          <w:lang w:eastAsia="ru-RU"/>
        </w:rPr>
        <w:t xml:space="preserve"> фінансів</w:t>
      </w:r>
    </w:p>
    <w:p w:rsidR="003D68B2" w:rsidRDefault="003D68B2" w:rsidP="003D68B2">
      <w:pPr>
        <w:widowControl w:val="0"/>
        <w:tabs>
          <w:tab w:val="left" w:pos="709"/>
          <w:tab w:val="left" w:pos="1440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виконавчого комітету </w:t>
      </w:r>
    </w:p>
    <w:p w:rsidR="003D68B2" w:rsidRDefault="003D68B2" w:rsidP="003D68B2">
      <w:pPr>
        <w:widowControl w:val="0"/>
        <w:tabs>
          <w:tab w:val="left" w:pos="709"/>
          <w:tab w:val="left" w:pos="1440"/>
          <w:tab w:val="left" w:pos="7088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Кременчуцької міської ради </w:t>
      </w:r>
    </w:p>
    <w:p w:rsidR="003D68B2" w:rsidRDefault="003D68B2" w:rsidP="0054077A">
      <w:pPr>
        <w:widowControl w:val="0"/>
        <w:tabs>
          <w:tab w:val="left" w:pos="1440"/>
          <w:tab w:val="left" w:pos="7088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Полтавської області                                                                Т.Г.НЕІЛЕНКО</w:t>
      </w:r>
    </w:p>
    <w:p w:rsidR="003D68B2" w:rsidRDefault="003D68B2" w:rsidP="003D68B2">
      <w:pPr>
        <w:spacing w:after="120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3D68B2" w:rsidRDefault="003D68B2" w:rsidP="003D68B2">
      <w:pPr>
        <w:spacing w:after="120"/>
        <w:jc w:val="both"/>
        <w:rPr>
          <w:color w:val="FF0000"/>
          <w:sz w:val="28"/>
          <w:szCs w:val="28"/>
          <w:lang w:eastAsia="ru-RU"/>
        </w:rPr>
      </w:pPr>
    </w:p>
    <w:p w:rsidR="0054077A" w:rsidRDefault="0054077A" w:rsidP="003D68B2">
      <w:pPr>
        <w:spacing w:after="120"/>
        <w:jc w:val="both"/>
        <w:rPr>
          <w:color w:val="FF0000"/>
          <w:sz w:val="28"/>
          <w:szCs w:val="28"/>
          <w:lang w:eastAsia="ru-RU"/>
        </w:rPr>
      </w:pPr>
    </w:p>
    <w:p w:rsidR="003D68B2" w:rsidRDefault="003D68B2" w:rsidP="008D7B56">
      <w:pPr>
        <w:spacing w:after="120"/>
        <w:jc w:val="both"/>
        <w:rPr>
          <w:color w:val="FF0000"/>
          <w:sz w:val="28"/>
          <w:szCs w:val="28"/>
          <w:lang w:eastAsia="ru-RU"/>
        </w:rPr>
      </w:pPr>
      <w:bookmarkStart w:id="1" w:name="_GoBack"/>
      <w:bookmarkEnd w:id="1"/>
    </w:p>
    <w:p w:rsidR="004342A8" w:rsidRPr="003D68B2" w:rsidRDefault="004342A8">
      <w:pPr>
        <w:rPr>
          <w:sz w:val="28"/>
          <w:szCs w:val="28"/>
        </w:rPr>
      </w:pPr>
    </w:p>
    <w:sectPr w:rsidR="004342A8" w:rsidRPr="003D68B2" w:rsidSect="003D68B2">
      <w:footerReference w:type="default" r:id="rId13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32" w:rsidRDefault="00FC1B32" w:rsidP="003D68B2">
      <w:r>
        <w:separator/>
      </w:r>
    </w:p>
  </w:endnote>
  <w:endnote w:type="continuationSeparator" w:id="0">
    <w:p w:rsidR="00FC1B32" w:rsidRDefault="00FC1B32" w:rsidP="003D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864764"/>
      <w:docPartObj>
        <w:docPartGallery w:val="Page Numbers (Bottom of Page)"/>
        <w:docPartUnique/>
      </w:docPartObj>
    </w:sdtPr>
    <w:sdtEndPr/>
    <w:sdtContent>
      <w:p w:rsidR="003D68B2" w:rsidRDefault="003D68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B56" w:rsidRPr="008D7B56">
          <w:rPr>
            <w:noProof/>
            <w:lang w:val="ru-RU"/>
          </w:rPr>
          <w:t>13</w:t>
        </w:r>
        <w:r>
          <w:fldChar w:fldCharType="end"/>
        </w:r>
      </w:p>
    </w:sdtContent>
  </w:sdt>
  <w:p w:rsidR="003D68B2" w:rsidRDefault="003D68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32" w:rsidRDefault="00FC1B32" w:rsidP="003D68B2">
      <w:r>
        <w:separator/>
      </w:r>
    </w:p>
  </w:footnote>
  <w:footnote w:type="continuationSeparator" w:id="0">
    <w:p w:rsidR="00FC1B32" w:rsidRDefault="00FC1B32" w:rsidP="003D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8CA"/>
    <w:multiLevelType w:val="hybridMultilevel"/>
    <w:tmpl w:val="D9D451C4"/>
    <w:lvl w:ilvl="0" w:tplc="9BA808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721508"/>
    <w:multiLevelType w:val="hybridMultilevel"/>
    <w:tmpl w:val="7946DD98"/>
    <w:lvl w:ilvl="0" w:tplc="9BA80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B"/>
    <w:rsid w:val="00330B9C"/>
    <w:rsid w:val="003D68B2"/>
    <w:rsid w:val="004342A8"/>
    <w:rsid w:val="0054077A"/>
    <w:rsid w:val="005B5DD6"/>
    <w:rsid w:val="00771D5D"/>
    <w:rsid w:val="008D7B56"/>
    <w:rsid w:val="009471E3"/>
    <w:rsid w:val="00AC1895"/>
    <w:rsid w:val="00B12991"/>
    <w:rsid w:val="00EE35CB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8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B2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3D68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8B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3D68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68B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8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B2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3D68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8B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3D68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68B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cp:lastPrinted>2018-05-31T11:59:00Z</cp:lastPrinted>
  <dcterms:created xsi:type="dcterms:W3CDTF">2018-04-20T08:47:00Z</dcterms:created>
  <dcterms:modified xsi:type="dcterms:W3CDTF">2018-06-06T11:03:00Z</dcterms:modified>
</cp:coreProperties>
</file>