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2EE" w:rsidRDefault="003162EE" w:rsidP="003162EE">
      <w:pPr>
        <w:ind w:left="5103"/>
        <w:rPr>
          <w:b/>
          <w:sz w:val="28"/>
          <w:szCs w:val="28"/>
        </w:rPr>
      </w:pPr>
      <w:r>
        <w:rPr>
          <w:b/>
          <w:sz w:val="28"/>
          <w:szCs w:val="28"/>
        </w:rPr>
        <w:t>Додаток 1</w:t>
      </w:r>
    </w:p>
    <w:p w:rsidR="003162EE" w:rsidRDefault="003162EE" w:rsidP="003162EE">
      <w:pPr>
        <w:ind w:left="5103"/>
        <w:rPr>
          <w:b/>
          <w:sz w:val="28"/>
          <w:szCs w:val="28"/>
        </w:rPr>
      </w:pPr>
      <w:r>
        <w:rPr>
          <w:b/>
          <w:sz w:val="28"/>
          <w:szCs w:val="28"/>
        </w:rPr>
        <w:t>до рішення міської ради</w:t>
      </w:r>
    </w:p>
    <w:p w:rsidR="003162EE" w:rsidRDefault="003162EE" w:rsidP="003162EE">
      <w:pPr>
        <w:ind w:left="5103"/>
        <w:rPr>
          <w:b/>
          <w:sz w:val="28"/>
          <w:szCs w:val="28"/>
        </w:rPr>
      </w:pPr>
      <w:r>
        <w:rPr>
          <w:b/>
          <w:sz w:val="28"/>
          <w:szCs w:val="28"/>
        </w:rPr>
        <w:t>від 29.03.2018</w:t>
      </w:r>
    </w:p>
    <w:p w:rsidR="003162EE" w:rsidRDefault="003162EE" w:rsidP="003162EE">
      <w:pPr>
        <w:jc w:val="center"/>
        <w:rPr>
          <w:b/>
          <w:sz w:val="28"/>
          <w:szCs w:val="28"/>
        </w:rPr>
      </w:pPr>
    </w:p>
    <w:p w:rsidR="003162EE" w:rsidRDefault="003162EE" w:rsidP="003162EE">
      <w:pPr>
        <w:jc w:val="center"/>
        <w:rPr>
          <w:b/>
          <w:sz w:val="28"/>
          <w:szCs w:val="28"/>
        </w:rPr>
      </w:pPr>
      <w:r>
        <w:rPr>
          <w:b/>
          <w:sz w:val="28"/>
          <w:szCs w:val="28"/>
        </w:rPr>
        <w:t>ПОЯСНЮВАЛЬНА ЗАПИСКА</w:t>
      </w:r>
    </w:p>
    <w:p w:rsidR="003162EE" w:rsidRDefault="003162EE" w:rsidP="003162EE">
      <w:pPr>
        <w:jc w:val="center"/>
        <w:rPr>
          <w:b/>
          <w:sz w:val="28"/>
          <w:szCs w:val="28"/>
        </w:rPr>
      </w:pPr>
      <w:r>
        <w:rPr>
          <w:b/>
          <w:sz w:val="28"/>
          <w:szCs w:val="28"/>
        </w:rPr>
        <w:t xml:space="preserve">до річного звіту про виконання міського бюджету </w:t>
      </w:r>
    </w:p>
    <w:p w:rsidR="003162EE" w:rsidRDefault="003162EE" w:rsidP="003162EE">
      <w:pPr>
        <w:jc w:val="center"/>
        <w:rPr>
          <w:b/>
          <w:sz w:val="28"/>
          <w:szCs w:val="28"/>
        </w:rPr>
      </w:pPr>
      <w:r>
        <w:rPr>
          <w:b/>
          <w:sz w:val="28"/>
          <w:szCs w:val="28"/>
        </w:rPr>
        <w:t>міста Кременчука за 2017 рік</w:t>
      </w:r>
    </w:p>
    <w:p w:rsidR="003162EE" w:rsidRDefault="003162EE" w:rsidP="003162EE">
      <w:pPr>
        <w:jc w:val="center"/>
        <w:rPr>
          <w:sz w:val="28"/>
          <w:szCs w:val="28"/>
        </w:rPr>
      </w:pPr>
    </w:p>
    <w:p w:rsidR="003162EE" w:rsidRDefault="003162EE" w:rsidP="003162EE">
      <w:pPr>
        <w:jc w:val="center"/>
        <w:rPr>
          <w:b/>
          <w:sz w:val="28"/>
          <w:szCs w:val="28"/>
          <w:lang w:val="ru-RU"/>
        </w:rPr>
      </w:pPr>
      <w:r>
        <w:rPr>
          <w:b/>
          <w:sz w:val="28"/>
          <w:szCs w:val="28"/>
        </w:rPr>
        <w:t xml:space="preserve">ЕКОНОМІЧНИЙ І СОЦІАЛЬНИЙ РОЗВИТОК МІСТА У 2017 РОЦІ </w:t>
      </w:r>
    </w:p>
    <w:p w:rsidR="003162EE" w:rsidRDefault="003162EE" w:rsidP="003162EE">
      <w:pPr>
        <w:jc w:val="center"/>
        <w:rPr>
          <w:sz w:val="28"/>
          <w:szCs w:val="28"/>
          <w:lang w:val="ru-RU"/>
        </w:rPr>
      </w:pPr>
    </w:p>
    <w:p w:rsidR="003162EE" w:rsidRDefault="003162EE" w:rsidP="003162EE">
      <w:pPr>
        <w:ind w:firstLine="709"/>
        <w:jc w:val="both"/>
        <w:rPr>
          <w:sz w:val="28"/>
          <w:szCs w:val="28"/>
        </w:rPr>
      </w:pPr>
      <w:r>
        <w:rPr>
          <w:sz w:val="28"/>
          <w:szCs w:val="28"/>
        </w:rPr>
        <w:t>Діяльність органів виконавчої влади в 2017 році була спрямована на запровадження принципів прозорості та відкритості в управлінні містом, посилення позитивних тенденцій в усіх сферах міської економіки, здійснення модернізації інфраструктури, проведення комплексу заходів підтримки незахищених верств населення.</w:t>
      </w:r>
    </w:p>
    <w:p w:rsidR="003162EE" w:rsidRDefault="003162EE" w:rsidP="003162EE">
      <w:pPr>
        <w:ind w:firstLine="709"/>
        <w:jc w:val="both"/>
        <w:rPr>
          <w:sz w:val="28"/>
          <w:szCs w:val="28"/>
        </w:rPr>
      </w:pPr>
      <w:r>
        <w:rPr>
          <w:sz w:val="28"/>
          <w:szCs w:val="28"/>
        </w:rPr>
        <w:t>Місто Кременчук – одне з найпотужніших індустріальних центрів України з розвиненою економічною та соціальною інфраструктурою. В місті функціонує більше 86 промислових підприємств, 58 будівельних організацій різних форм власності та 14 тисяч суб'єктів підприємницької діяльності. Структура промисловості охоплює майже всі базові галузі, це: нафтопереробна й нафтохімічна, машинобудування й обробка металу, харчова, легка й будівельна галузь, частка яких у загальному обсязі реалізованої продукції становить 78,9%.</w:t>
      </w:r>
    </w:p>
    <w:p w:rsidR="003162EE" w:rsidRDefault="003162EE" w:rsidP="003162EE">
      <w:pPr>
        <w:ind w:firstLine="709"/>
        <w:jc w:val="both"/>
        <w:rPr>
          <w:sz w:val="28"/>
          <w:szCs w:val="28"/>
        </w:rPr>
      </w:pPr>
      <w:r>
        <w:rPr>
          <w:sz w:val="28"/>
          <w:szCs w:val="28"/>
        </w:rPr>
        <w:t>В місті відбувалася позитивна тенденція  зростання ключових галузей промисловості перш за все, за рахунок промисловості, металургії, корисних копалин.</w:t>
      </w:r>
    </w:p>
    <w:p w:rsidR="003162EE" w:rsidRDefault="003162EE" w:rsidP="00316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По виробництву основних видів промислової продукції за 2017 рік ряд бюджетоутворюючих підприємств збільшили обсяги виробництва порівняно з 2016 роком, а саме: </w:t>
      </w:r>
    </w:p>
    <w:p w:rsidR="003162EE" w:rsidRDefault="003162EE" w:rsidP="00316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p>
    <w:p w:rsidR="003162EE" w:rsidRDefault="003162EE" w:rsidP="003162EE">
      <w:pPr>
        <w:jc w:val="both"/>
        <w:rPr>
          <w:sz w:val="28"/>
          <w:szCs w:val="28"/>
        </w:rPr>
      </w:pPr>
      <w:r>
        <w:rPr>
          <w:b/>
          <w:sz w:val="28"/>
          <w:szCs w:val="28"/>
        </w:rPr>
        <w:t>- ПАТ «</w:t>
      </w:r>
      <w:proofErr w:type="spellStart"/>
      <w:r>
        <w:rPr>
          <w:b/>
          <w:sz w:val="28"/>
          <w:szCs w:val="28"/>
        </w:rPr>
        <w:t>Крюківський</w:t>
      </w:r>
      <w:proofErr w:type="spellEnd"/>
      <w:r>
        <w:rPr>
          <w:b/>
          <w:sz w:val="28"/>
          <w:szCs w:val="28"/>
        </w:rPr>
        <w:t xml:space="preserve"> вагонобудівний завод»:</w:t>
      </w:r>
      <w:r>
        <w:rPr>
          <w:sz w:val="28"/>
          <w:szCs w:val="28"/>
        </w:rPr>
        <w:t xml:space="preserve"> за січень-грудень 2017 року вироблено  продукції:  пасажирські вагони – 51 шт., за відповідний період минулого року – 9 шт., вантажні вагони  – 2013 шт., що до 2016 року складає 127,7% (ріст 27,7%).; </w:t>
      </w:r>
    </w:p>
    <w:p w:rsidR="003162EE" w:rsidRDefault="003162EE" w:rsidP="003162EE">
      <w:pPr>
        <w:jc w:val="both"/>
        <w:rPr>
          <w:sz w:val="28"/>
          <w:szCs w:val="28"/>
        </w:rPr>
      </w:pPr>
      <w:r>
        <w:rPr>
          <w:b/>
          <w:sz w:val="28"/>
          <w:szCs w:val="28"/>
        </w:rPr>
        <w:t>- ПрАТ «Кременчуцький завод дорожніх машин»:</w:t>
      </w:r>
      <w:r>
        <w:rPr>
          <w:sz w:val="28"/>
          <w:szCs w:val="28"/>
        </w:rPr>
        <w:t xml:space="preserve"> вироблено продукції - 50 установок, що більше в 1,6 рази  до минулого року;</w:t>
      </w:r>
    </w:p>
    <w:p w:rsidR="003162EE" w:rsidRDefault="003162EE" w:rsidP="003162EE">
      <w:pPr>
        <w:jc w:val="both"/>
        <w:rPr>
          <w:sz w:val="28"/>
          <w:szCs w:val="28"/>
        </w:rPr>
      </w:pPr>
      <w:r>
        <w:rPr>
          <w:b/>
          <w:sz w:val="28"/>
          <w:szCs w:val="28"/>
        </w:rPr>
        <w:t xml:space="preserve">- ПрАТ «Кременчуцький завод технічного вуглецю»  </w:t>
      </w:r>
      <w:r>
        <w:rPr>
          <w:sz w:val="28"/>
          <w:szCs w:val="28"/>
        </w:rPr>
        <w:t xml:space="preserve">вироблено  продукції – 77 382 </w:t>
      </w:r>
      <w:proofErr w:type="spellStart"/>
      <w:r>
        <w:rPr>
          <w:sz w:val="28"/>
          <w:szCs w:val="28"/>
        </w:rPr>
        <w:t>тонни</w:t>
      </w:r>
      <w:proofErr w:type="spellEnd"/>
      <w:r>
        <w:rPr>
          <w:sz w:val="28"/>
          <w:szCs w:val="28"/>
        </w:rPr>
        <w:t>, що</w:t>
      </w:r>
      <w:r>
        <w:rPr>
          <w:i/>
          <w:sz w:val="28"/>
          <w:szCs w:val="28"/>
        </w:rPr>
        <w:t xml:space="preserve"> </w:t>
      </w:r>
      <w:r>
        <w:rPr>
          <w:sz w:val="28"/>
          <w:szCs w:val="28"/>
        </w:rPr>
        <w:t>до 2016 року  складає  107,3%  (ріст 7,3%);</w:t>
      </w:r>
    </w:p>
    <w:p w:rsidR="003162EE" w:rsidRDefault="003162EE" w:rsidP="003162EE">
      <w:pPr>
        <w:jc w:val="both"/>
        <w:rPr>
          <w:sz w:val="28"/>
          <w:szCs w:val="28"/>
        </w:rPr>
      </w:pPr>
      <w:r>
        <w:rPr>
          <w:b/>
          <w:sz w:val="28"/>
          <w:szCs w:val="28"/>
        </w:rPr>
        <w:t>- ПрАТ «Кременчуцький колісний завод»</w:t>
      </w:r>
      <w:r>
        <w:rPr>
          <w:sz w:val="28"/>
          <w:szCs w:val="28"/>
        </w:rPr>
        <w:t xml:space="preserve"> вироблено колісної продукції – 922,0 тис. штук, що</w:t>
      </w:r>
      <w:r>
        <w:rPr>
          <w:i/>
          <w:sz w:val="28"/>
          <w:szCs w:val="28"/>
        </w:rPr>
        <w:t xml:space="preserve"> </w:t>
      </w:r>
      <w:r>
        <w:rPr>
          <w:sz w:val="28"/>
          <w:szCs w:val="28"/>
        </w:rPr>
        <w:t>до минулого року  складає  100,3%  (ріст 0,3%);</w:t>
      </w:r>
    </w:p>
    <w:p w:rsidR="003162EE" w:rsidRDefault="003162EE" w:rsidP="003162EE">
      <w:pPr>
        <w:jc w:val="both"/>
        <w:rPr>
          <w:sz w:val="28"/>
          <w:szCs w:val="28"/>
        </w:rPr>
      </w:pPr>
      <w:r>
        <w:rPr>
          <w:b/>
          <w:sz w:val="28"/>
          <w:szCs w:val="28"/>
        </w:rPr>
        <w:t>- ПАТ «Кременчуцька кондитерська фабрика «РОШЕН»</w:t>
      </w:r>
      <w:r>
        <w:rPr>
          <w:sz w:val="28"/>
          <w:szCs w:val="28"/>
        </w:rPr>
        <w:t xml:space="preserve"> вироблено  продукції – 60 928,1 </w:t>
      </w:r>
      <w:proofErr w:type="spellStart"/>
      <w:r>
        <w:rPr>
          <w:sz w:val="28"/>
          <w:szCs w:val="28"/>
        </w:rPr>
        <w:t>тонн</w:t>
      </w:r>
      <w:proofErr w:type="spellEnd"/>
      <w:r>
        <w:rPr>
          <w:sz w:val="28"/>
          <w:szCs w:val="28"/>
        </w:rPr>
        <w:t>, що</w:t>
      </w:r>
      <w:r>
        <w:rPr>
          <w:i/>
          <w:sz w:val="28"/>
          <w:szCs w:val="28"/>
        </w:rPr>
        <w:t xml:space="preserve"> </w:t>
      </w:r>
      <w:r>
        <w:rPr>
          <w:sz w:val="28"/>
          <w:szCs w:val="28"/>
        </w:rPr>
        <w:t>до 2016 року складає 112,1% (ріст 12,1%);</w:t>
      </w:r>
    </w:p>
    <w:p w:rsidR="003162EE" w:rsidRDefault="003162EE" w:rsidP="003162EE">
      <w:pPr>
        <w:jc w:val="both"/>
        <w:rPr>
          <w:sz w:val="28"/>
          <w:szCs w:val="28"/>
        </w:rPr>
      </w:pPr>
      <w:r>
        <w:rPr>
          <w:b/>
          <w:sz w:val="28"/>
          <w:szCs w:val="28"/>
        </w:rPr>
        <w:t>- ТОВ «Кременчуцький хлібокомбінат»</w:t>
      </w:r>
      <w:r>
        <w:rPr>
          <w:sz w:val="28"/>
          <w:szCs w:val="28"/>
        </w:rPr>
        <w:t xml:space="preserve"> вироблено продукції – 5021,0  </w:t>
      </w:r>
      <w:proofErr w:type="spellStart"/>
      <w:r>
        <w:rPr>
          <w:sz w:val="28"/>
          <w:szCs w:val="28"/>
        </w:rPr>
        <w:t>тонн</w:t>
      </w:r>
      <w:proofErr w:type="spellEnd"/>
      <w:r>
        <w:rPr>
          <w:sz w:val="28"/>
          <w:szCs w:val="28"/>
        </w:rPr>
        <w:t xml:space="preserve"> або 110,1%</w:t>
      </w:r>
      <w:r>
        <w:rPr>
          <w:i/>
          <w:sz w:val="28"/>
          <w:szCs w:val="28"/>
        </w:rPr>
        <w:t xml:space="preserve">  </w:t>
      </w:r>
      <w:r>
        <w:rPr>
          <w:sz w:val="28"/>
          <w:szCs w:val="28"/>
        </w:rPr>
        <w:t>до 2016 року (ріст 10,1%);</w:t>
      </w:r>
    </w:p>
    <w:p w:rsidR="003162EE" w:rsidRDefault="003162EE" w:rsidP="003162EE">
      <w:pPr>
        <w:jc w:val="both"/>
        <w:rPr>
          <w:b/>
          <w:sz w:val="28"/>
          <w:szCs w:val="28"/>
        </w:rPr>
      </w:pPr>
      <w:r>
        <w:rPr>
          <w:b/>
          <w:sz w:val="28"/>
          <w:szCs w:val="28"/>
        </w:rPr>
        <w:t>- ТОВ «</w:t>
      </w:r>
      <w:proofErr w:type="spellStart"/>
      <w:r>
        <w:rPr>
          <w:b/>
          <w:sz w:val="28"/>
          <w:szCs w:val="28"/>
        </w:rPr>
        <w:t>Малокохнівський</w:t>
      </w:r>
      <w:proofErr w:type="spellEnd"/>
      <w:r>
        <w:rPr>
          <w:b/>
          <w:sz w:val="28"/>
          <w:szCs w:val="28"/>
        </w:rPr>
        <w:t xml:space="preserve"> кар’єр» </w:t>
      </w:r>
      <w:r>
        <w:rPr>
          <w:sz w:val="28"/>
          <w:szCs w:val="28"/>
        </w:rPr>
        <w:t xml:space="preserve">вироблено  продукції – 1017,0 тис. </w:t>
      </w:r>
      <w:proofErr w:type="spellStart"/>
      <w:r>
        <w:rPr>
          <w:sz w:val="28"/>
          <w:szCs w:val="28"/>
        </w:rPr>
        <w:t>тонн</w:t>
      </w:r>
      <w:proofErr w:type="spellEnd"/>
      <w:r>
        <w:rPr>
          <w:sz w:val="28"/>
          <w:szCs w:val="28"/>
        </w:rPr>
        <w:t>, що більше в 1,5 рази</w:t>
      </w:r>
      <w:r>
        <w:rPr>
          <w:i/>
          <w:sz w:val="28"/>
          <w:szCs w:val="28"/>
        </w:rPr>
        <w:t xml:space="preserve"> </w:t>
      </w:r>
      <w:r>
        <w:rPr>
          <w:sz w:val="28"/>
          <w:szCs w:val="28"/>
        </w:rPr>
        <w:t>до минулого року;</w:t>
      </w:r>
    </w:p>
    <w:p w:rsidR="003162EE" w:rsidRDefault="003162EE" w:rsidP="003162EE">
      <w:pPr>
        <w:jc w:val="both"/>
        <w:rPr>
          <w:sz w:val="28"/>
          <w:szCs w:val="28"/>
        </w:rPr>
      </w:pPr>
      <w:r>
        <w:rPr>
          <w:b/>
          <w:sz w:val="28"/>
          <w:szCs w:val="28"/>
        </w:rPr>
        <w:lastRenderedPageBreak/>
        <w:t>- ПАТ Кременчуцьке кар’єроуправління «Кварц»</w:t>
      </w:r>
      <w:r>
        <w:rPr>
          <w:sz w:val="28"/>
          <w:szCs w:val="28"/>
        </w:rPr>
        <w:t xml:space="preserve">  вироблено  продукції 732,6 тис.м3  або </w:t>
      </w:r>
      <w:r>
        <w:rPr>
          <w:i/>
          <w:sz w:val="28"/>
          <w:szCs w:val="28"/>
        </w:rPr>
        <w:t xml:space="preserve"> </w:t>
      </w:r>
      <w:r>
        <w:rPr>
          <w:sz w:val="28"/>
          <w:szCs w:val="28"/>
        </w:rPr>
        <w:t xml:space="preserve">112,2% до 2016 року (ріст 12,2%). </w:t>
      </w:r>
    </w:p>
    <w:p w:rsidR="003162EE" w:rsidRDefault="003162EE" w:rsidP="003162EE">
      <w:pPr>
        <w:jc w:val="both"/>
        <w:rPr>
          <w:sz w:val="28"/>
          <w:szCs w:val="28"/>
        </w:rPr>
      </w:pPr>
    </w:p>
    <w:p w:rsidR="003162EE" w:rsidRDefault="003162EE" w:rsidP="003162EE">
      <w:pPr>
        <w:ind w:firstLine="708"/>
        <w:jc w:val="both"/>
        <w:rPr>
          <w:sz w:val="28"/>
          <w:szCs w:val="28"/>
        </w:rPr>
      </w:pPr>
      <w:r>
        <w:rPr>
          <w:sz w:val="28"/>
          <w:szCs w:val="28"/>
        </w:rPr>
        <w:t xml:space="preserve">За 2017 рік зниження обсягів виробництва в порівнянні з 2016 роком  спостерігалося на: </w:t>
      </w:r>
    </w:p>
    <w:p w:rsidR="003162EE" w:rsidRDefault="003162EE" w:rsidP="003162EE">
      <w:pPr>
        <w:ind w:firstLine="709"/>
        <w:jc w:val="both"/>
        <w:rPr>
          <w:sz w:val="28"/>
          <w:szCs w:val="28"/>
        </w:rPr>
      </w:pPr>
      <w:r>
        <w:rPr>
          <w:b/>
          <w:sz w:val="28"/>
          <w:szCs w:val="28"/>
        </w:rPr>
        <w:t xml:space="preserve">-  ПрАТ «КРЕМТЕКС» </w:t>
      </w:r>
      <w:r>
        <w:rPr>
          <w:sz w:val="28"/>
          <w:szCs w:val="28"/>
        </w:rPr>
        <w:t>вироблено продукції  139,5 тис. од. або 85,2% до минулого року (зменшення 14,8%);</w:t>
      </w:r>
    </w:p>
    <w:p w:rsidR="003162EE" w:rsidRDefault="003162EE" w:rsidP="003162EE">
      <w:pPr>
        <w:ind w:firstLine="709"/>
        <w:jc w:val="both"/>
        <w:rPr>
          <w:sz w:val="28"/>
          <w:szCs w:val="28"/>
        </w:rPr>
      </w:pPr>
      <w:r>
        <w:rPr>
          <w:b/>
          <w:sz w:val="28"/>
          <w:szCs w:val="28"/>
        </w:rPr>
        <w:t>-  ВП «</w:t>
      </w:r>
      <w:proofErr w:type="spellStart"/>
      <w:r>
        <w:rPr>
          <w:b/>
          <w:sz w:val="28"/>
          <w:szCs w:val="28"/>
        </w:rPr>
        <w:t>Крюківський</w:t>
      </w:r>
      <w:proofErr w:type="spellEnd"/>
      <w:r>
        <w:rPr>
          <w:b/>
          <w:sz w:val="28"/>
          <w:szCs w:val="28"/>
        </w:rPr>
        <w:t xml:space="preserve"> кар’єр» «</w:t>
      </w:r>
      <w:proofErr w:type="spellStart"/>
      <w:r>
        <w:rPr>
          <w:b/>
          <w:sz w:val="28"/>
          <w:szCs w:val="28"/>
        </w:rPr>
        <w:t>ЦУП»ПАТ«Укрзалізниця</w:t>
      </w:r>
      <w:proofErr w:type="spellEnd"/>
      <w:r>
        <w:rPr>
          <w:b/>
          <w:sz w:val="28"/>
          <w:szCs w:val="28"/>
        </w:rPr>
        <w:t>»</w:t>
      </w:r>
      <w:r>
        <w:rPr>
          <w:sz w:val="28"/>
          <w:szCs w:val="28"/>
        </w:rPr>
        <w:t xml:space="preserve">  вироблено продукції 381,1 тис.м3. або 92,3% до 2016 року (зменшення 7,7%);</w:t>
      </w:r>
    </w:p>
    <w:p w:rsidR="003162EE" w:rsidRDefault="003162EE" w:rsidP="003162EE">
      <w:pPr>
        <w:tabs>
          <w:tab w:val="left" w:pos="851"/>
          <w:tab w:val="left" w:pos="993"/>
        </w:tabs>
        <w:ind w:firstLine="709"/>
        <w:jc w:val="both"/>
        <w:rPr>
          <w:sz w:val="28"/>
          <w:szCs w:val="28"/>
        </w:rPr>
      </w:pPr>
      <w:r>
        <w:rPr>
          <w:b/>
          <w:sz w:val="28"/>
          <w:szCs w:val="28"/>
        </w:rPr>
        <w:t xml:space="preserve">- ПрАТ «Кременчуцький молокозавод» </w:t>
      </w:r>
      <w:r>
        <w:rPr>
          <w:sz w:val="28"/>
          <w:szCs w:val="28"/>
        </w:rPr>
        <w:t xml:space="preserve"> вироблено  продукції                               55 446,0 </w:t>
      </w:r>
      <w:proofErr w:type="spellStart"/>
      <w:r>
        <w:rPr>
          <w:sz w:val="28"/>
          <w:szCs w:val="28"/>
        </w:rPr>
        <w:t>тонн</w:t>
      </w:r>
      <w:proofErr w:type="spellEnd"/>
      <w:r>
        <w:rPr>
          <w:sz w:val="28"/>
          <w:szCs w:val="28"/>
        </w:rPr>
        <w:t xml:space="preserve">  або 85,6%</w:t>
      </w:r>
      <w:r>
        <w:rPr>
          <w:b/>
          <w:sz w:val="28"/>
          <w:szCs w:val="28"/>
        </w:rPr>
        <w:t xml:space="preserve"> </w:t>
      </w:r>
      <w:r>
        <w:rPr>
          <w:sz w:val="28"/>
          <w:szCs w:val="28"/>
        </w:rPr>
        <w:t xml:space="preserve">до минулого  року (зменшення 14,4%). </w:t>
      </w:r>
    </w:p>
    <w:p w:rsidR="003162EE" w:rsidRDefault="003162EE" w:rsidP="003162EE">
      <w:pPr>
        <w:ind w:firstLine="709"/>
        <w:jc w:val="both"/>
        <w:rPr>
          <w:sz w:val="28"/>
          <w:szCs w:val="28"/>
        </w:rPr>
      </w:pPr>
    </w:p>
    <w:p w:rsidR="003162EE" w:rsidRDefault="003162EE" w:rsidP="003162EE">
      <w:pPr>
        <w:ind w:firstLine="709"/>
        <w:jc w:val="both"/>
        <w:rPr>
          <w:sz w:val="28"/>
          <w:szCs w:val="28"/>
        </w:rPr>
      </w:pPr>
      <w:r>
        <w:rPr>
          <w:sz w:val="28"/>
          <w:szCs w:val="28"/>
        </w:rPr>
        <w:t xml:space="preserve">Бюджетоутворюючими підприємствами міста було виконано ряд заходів щодо впровадження ресурсозберігаючих технологій, технічного переозброєння, вироблення інноваційної продукції та ведення інвестиційної діяльності. </w:t>
      </w:r>
    </w:p>
    <w:p w:rsidR="003162EE" w:rsidRDefault="003162EE" w:rsidP="003162EE">
      <w:pPr>
        <w:ind w:firstLine="709"/>
        <w:jc w:val="both"/>
        <w:rPr>
          <w:sz w:val="28"/>
          <w:szCs w:val="28"/>
        </w:rPr>
      </w:pPr>
      <w:r>
        <w:rPr>
          <w:sz w:val="28"/>
          <w:szCs w:val="28"/>
        </w:rPr>
        <w:t>Важливим напрямком у будівельній галузі залишалося житлове будівництво. Житлова проблема є однією з найгостріших соціально-економічних проблем в Україні та найважливіших у територіальної громади міста. У 2017 році пріоритетним була добудова об’єктів незавершеного житлового будівництва з високим ступенем будівельної готовності.</w:t>
      </w:r>
    </w:p>
    <w:p w:rsidR="003162EE" w:rsidRDefault="003162EE" w:rsidP="003162EE">
      <w:pPr>
        <w:tabs>
          <w:tab w:val="left" w:pos="0"/>
        </w:tabs>
        <w:suppressAutoHyphens/>
        <w:ind w:firstLine="709"/>
        <w:jc w:val="both"/>
        <w:rPr>
          <w:sz w:val="28"/>
          <w:szCs w:val="28"/>
          <w:lang w:eastAsia="ar-SA"/>
        </w:rPr>
      </w:pPr>
      <w:r>
        <w:rPr>
          <w:sz w:val="28"/>
          <w:szCs w:val="28"/>
          <w:lang w:eastAsia="ar-SA"/>
        </w:rPr>
        <w:t xml:space="preserve">За інформацією Кременчуцької ОДПІ </w:t>
      </w:r>
      <w:r>
        <w:rPr>
          <w:sz w:val="28"/>
          <w:szCs w:val="28"/>
          <w:lang w:val="ru-RU" w:eastAsia="ar-SA"/>
        </w:rPr>
        <w:t xml:space="preserve">ГУ ДФС у </w:t>
      </w:r>
      <w:proofErr w:type="spellStart"/>
      <w:r>
        <w:rPr>
          <w:sz w:val="28"/>
          <w:szCs w:val="28"/>
          <w:lang w:val="ru-RU" w:eastAsia="ar-SA"/>
        </w:rPr>
        <w:t>Полтавськ</w:t>
      </w:r>
      <w:proofErr w:type="spellEnd"/>
      <w:r>
        <w:rPr>
          <w:sz w:val="28"/>
          <w:szCs w:val="28"/>
          <w:lang w:eastAsia="ar-SA"/>
        </w:rPr>
        <w:t>і</w:t>
      </w:r>
      <w:r>
        <w:rPr>
          <w:sz w:val="28"/>
          <w:szCs w:val="28"/>
          <w:lang w:val="ru-RU" w:eastAsia="ar-SA"/>
        </w:rPr>
        <w:t xml:space="preserve">й </w:t>
      </w:r>
      <w:proofErr w:type="spellStart"/>
      <w:r>
        <w:rPr>
          <w:sz w:val="28"/>
          <w:szCs w:val="28"/>
          <w:lang w:val="ru-RU" w:eastAsia="ar-SA"/>
        </w:rPr>
        <w:t>області</w:t>
      </w:r>
      <w:proofErr w:type="spellEnd"/>
      <w:r>
        <w:rPr>
          <w:sz w:val="28"/>
          <w:szCs w:val="28"/>
          <w:lang w:val="ru-RU" w:eastAsia="ar-SA"/>
        </w:rPr>
        <w:t xml:space="preserve"> </w:t>
      </w:r>
      <w:r>
        <w:rPr>
          <w:sz w:val="28"/>
          <w:szCs w:val="28"/>
          <w:lang w:eastAsia="ar-SA"/>
        </w:rPr>
        <w:t>загальна кількість суб’єктів малого та середнього бізнесу станом на 01.10.2017 зменшилась на 0</w:t>
      </w:r>
      <w:r>
        <w:rPr>
          <w:sz w:val="28"/>
          <w:szCs w:val="28"/>
          <w:lang w:val="ru-RU" w:eastAsia="ar-SA"/>
        </w:rPr>
        <w:t>,</w:t>
      </w:r>
      <w:r>
        <w:rPr>
          <w:sz w:val="28"/>
          <w:szCs w:val="28"/>
          <w:lang w:eastAsia="ar-SA"/>
        </w:rPr>
        <w:t xml:space="preserve">01%. При цьому, податківці зауважують, що показники щодо кількості суб’єктів малого та середнього бізнесу та кількості найманих працівників у них були сформовані на підставі звітності, поданої за 2016 рік (звіти суб’єктів господарювання, які знаходяться на загальній системі оподаткування, подаються один раз на рік, протягом  січня-лютого місяців). Проте частка надходжень від суб'єктів малого і середнього підприємництва до бюджетів всіх рівнів за звітний період зросла на 26,5%. </w:t>
      </w:r>
    </w:p>
    <w:p w:rsidR="003162EE" w:rsidRDefault="003162EE" w:rsidP="003162EE">
      <w:pPr>
        <w:suppressAutoHyphens/>
        <w:ind w:firstLine="720"/>
        <w:jc w:val="both"/>
        <w:rPr>
          <w:sz w:val="28"/>
          <w:szCs w:val="28"/>
          <w:lang w:eastAsia="ar-SA"/>
        </w:rPr>
      </w:pPr>
      <w:r>
        <w:rPr>
          <w:sz w:val="28"/>
          <w:szCs w:val="28"/>
          <w:lang w:eastAsia="ar-SA"/>
        </w:rPr>
        <w:t xml:space="preserve">Одна з основних функцій малого та середнього бізнесу, яка є надзвичайно важливою, - це створення робочих місць. Чисельність працюючих  у суб’єктів малого і середнього підприємництва у місті </w:t>
      </w:r>
      <w:proofErr w:type="spellStart"/>
      <w:r>
        <w:rPr>
          <w:sz w:val="28"/>
          <w:szCs w:val="28"/>
          <w:lang w:eastAsia="ar-SA"/>
        </w:rPr>
        <w:t>Кременчуці</w:t>
      </w:r>
      <w:proofErr w:type="spellEnd"/>
      <w:r>
        <w:rPr>
          <w:sz w:val="28"/>
          <w:szCs w:val="28"/>
          <w:lang w:eastAsia="ar-SA"/>
        </w:rPr>
        <w:t xml:space="preserve"> становить 27 987 осіб (+ 0,5%), у тому числі: у суб’єктів малого підприємництва (юридичних та фізичних осіб-підприємців) – 16 197 чоловік, у суб’єктів середнього підприємництва (юридичних осіб) – 11 790 чоловік. </w:t>
      </w:r>
    </w:p>
    <w:p w:rsidR="003162EE" w:rsidRDefault="003162EE" w:rsidP="003162EE">
      <w:pPr>
        <w:suppressAutoHyphens/>
        <w:ind w:firstLine="708"/>
        <w:jc w:val="both"/>
        <w:rPr>
          <w:sz w:val="28"/>
          <w:szCs w:val="28"/>
          <w:lang w:eastAsia="ar-SA"/>
        </w:rPr>
      </w:pPr>
      <w:r>
        <w:rPr>
          <w:sz w:val="28"/>
          <w:szCs w:val="28"/>
          <w:lang w:eastAsia="ar-SA"/>
        </w:rPr>
        <w:t>Станом на 01.10.2017 у місті налічувалось 1 955 об’єктів роздрібної торгівлі, ресторанного господарства та сфери послуг.</w:t>
      </w:r>
    </w:p>
    <w:p w:rsidR="003162EE" w:rsidRDefault="003162EE" w:rsidP="003162EE">
      <w:pPr>
        <w:suppressAutoHyphens/>
        <w:ind w:firstLine="708"/>
        <w:jc w:val="both"/>
        <w:rPr>
          <w:sz w:val="28"/>
          <w:szCs w:val="28"/>
          <w:lang w:eastAsia="ar-SA"/>
        </w:rPr>
      </w:pPr>
      <w:r>
        <w:rPr>
          <w:sz w:val="28"/>
          <w:szCs w:val="28"/>
          <w:lang w:eastAsia="ar-SA"/>
        </w:rPr>
        <w:t>Торгівельна мережа міста складає 1 012 магазинів (із них 380 продовольчих) та 13 ринків.</w:t>
      </w:r>
    </w:p>
    <w:p w:rsidR="003162EE" w:rsidRDefault="003162EE" w:rsidP="003162EE">
      <w:pPr>
        <w:suppressAutoHyphens/>
        <w:ind w:firstLine="708"/>
        <w:jc w:val="both"/>
        <w:rPr>
          <w:sz w:val="28"/>
          <w:szCs w:val="28"/>
          <w:lang w:eastAsia="ar-SA"/>
        </w:rPr>
      </w:pPr>
      <w:r>
        <w:rPr>
          <w:sz w:val="28"/>
          <w:szCs w:val="28"/>
          <w:lang w:eastAsia="ar-SA"/>
        </w:rPr>
        <w:t xml:space="preserve">З метою забезпечення доступності та спрощення одержання адміністративних послуг у місті </w:t>
      </w:r>
      <w:proofErr w:type="spellStart"/>
      <w:r>
        <w:rPr>
          <w:sz w:val="28"/>
          <w:szCs w:val="28"/>
          <w:lang w:eastAsia="ar-SA"/>
        </w:rPr>
        <w:t>Кременчуці</w:t>
      </w:r>
      <w:proofErr w:type="spellEnd"/>
      <w:r>
        <w:rPr>
          <w:sz w:val="28"/>
          <w:szCs w:val="28"/>
          <w:lang w:eastAsia="ar-SA"/>
        </w:rPr>
        <w:t xml:space="preserve">  в березні 2015 року було створено  Центр надання адміністративних послуг. До переліку послуг, які можна отримати через ЦНАП у місті </w:t>
      </w:r>
      <w:proofErr w:type="spellStart"/>
      <w:r>
        <w:rPr>
          <w:sz w:val="28"/>
          <w:szCs w:val="28"/>
          <w:lang w:eastAsia="ar-SA"/>
        </w:rPr>
        <w:t>Кременчуці</w:t>
      </w:r>
      <w:proofErr w:type="spellEnd"/>
      <w:r>
        <w:rPr>
          <w:sz w:val="28"/>
          <w:szCs w:val="28"/>
          <w:lang w:eastAsia="ar-SA"/>
        </w:rPr>
        <w:t xml:space="preserve"> включено 165 адміністративних послуг. </w:t>
      </w:r>
    </w:p>
    <w:p w:rsidR="003162EE" w:rsidRDefault="003162EE" w:rsidP="003162EE">
      <w:pPr>
        <w:ind w:firstLine="696"/>
        <w:jc w:val="both"/>
        <w:rPr>
          <w:sz w:val="28"/>
          <w:szCs w:val="28"/>
          <w:lang w:eastAsia="ar-SA"/>
        </w:rPr>
      </w:pPr>
      <w:r>
        <w:rPr>
          <w:sz w:val="28"/>
          <w:szCs w:val="28"/>
          <w:lang w:eastAsia="ar-SA"/>
        </w:rPr>
        <w:t xml:space="preserve">У 2017 році  в </w:t>
      </w:r>
      <w:proofErr w:type="spellStart"/>
      <w:r>
        <w:rPr>
          <w:sz w:val="28"/>
          <w:szCs w:val="28"/>
          <w:lang w:eastAsia="ar-SA"/>
        </w:rPr>
        <w:t>міськрайцентрі</w:t>
      </w:r>
      <w:proofErr w:type="spellEnd"/>
      <w:r>
        <w:rPr>
          <w:sz w:val="28"/>
          <w:szCs w:val="28"/>
          <w:lang w:eastAsia="ar-SA"/>
        </w:rPr>
        <w:t xml:space="preserve"> зайнятості перебувало на обліку 6 659 безробітних. </w:t>
      </w:r>
    </w:p>
    <w:p w:rsidR="003162EE" w:rsidRDefault="003162EE" w:rsidP="003162EE">
      <w:pPr>
        <w:ind w:firstLine="696"/>
        <w:jc w:val="both"/>
        <w:rPr>
          <w:sz w:val="28"/>
          <w:szCs w:val="28"/>
          <w:lang w:eastAsia="ar-SA"/>
        </w:rPr>
      </w:pPr>
      <w:r>
        <w:rPr>
          <w:sz w:val="28"/>
          <w:szCs w:val="28"/>
          <w:lang w:eastAsia="ar-SA"/>
        </w:rPr>
        <w:lastRenderedPageBreak/>
        <w:t xml:space="preserve">Фактично </w:t>
      </w:r>
      <w:proofErr w:type="spellStart"/>
      <w:r>
        <w:rPr>
          <w:sz w:val="28"/>
          <w:szCs w:val="28"/>
          <w:lang w:eastAsia="ar-SA"/>
        </w:rPr>
        <w:t>працевлаштовано</w:t>
      </w:r>
      <w:proofErr w:type="spellEnd"/>
      <w:r>
        <w:rPr>
          <w:sz w:val="28"/>
          <w:szCs w:val="28"/>
          <w:lang w:eastAsia="ar-SA"/>
        </w:rPr>
        <w:t xml:space="preserve">  на вільні та новостворені робочі місця  1 501 безробітний, в тому числі шляхом компенсації роботодавцям витрат у розмірі єдиного внеску на </w:t>
      </w:r>
      <w:proofErr w:type="spellStart"/>
      <w:r>
        <w:rPr>
          <w:sz w:val="28"/>
          <w:szCs w:val="28"/>
          <w:lang w:eastAsia="ar-SA"/>
        </w:rPr>
        <w:t>загальнобов’язкове</w:t>
      </w:r>
      <w:proofErr w:type="spellEnd"/>
      <w:r>
        <w:rPr>
          <w:sz w:val="28"/>
          <w:szCs w:val="28"/>
          <w:lang w:eastAsia="ar-SA"/>
        </w:rPr>
        <w:t xml:space="preserve"> державне соціальне страхування </w:t>
      </w:r>
      <w:proofErr w:type="spellStart"/>
      <w:r>
        <w:rPr>
          <w:sz w:val="28"/>
          <w:szCs w:val="28"/>
          <w:lang w:eastAsia="ar-SA"/>
        </w:rPr>
        <w:t>працевлаштовано</w:t>
      </w:r>
      <w:proofErr w:type="spellEnd"/>
      <w:r>
        <w:rPr>
          <w:sz w:val="28"/>
          <w:szCs w:val="28"/>
          <w:lang w:eastAsia="ar-SA"/>
        </w:rPr>
        <w:t xml:space="preserve"> 117 безробітних.</w:t>
      </w:r>
    </w:p>
    <w:p w:rsidR="003162EE" w:rsidRDefault="003162EE" w:rsidP="003162EE">
      <w:pPr>
        <w:ind w:firstLine="696"/>
        <w:jc w:val="both"/>
        <w:rPr>
          <w:sz w:val="28"/>
          <w:szCs w:val="28"/>
          <w:lang w:eastAsia="ar-SA"/>
        </w:rPr>
      </w:pPr>
      <w:r>
        <w:rPr>
          <w:sz w:val="28"/>
          <w:szCs w:val="28"/>
          <w:lang w:eastAsia="ar-SA"/>
        </w:rPr>
        <w:tab/>
        <w:t>За  2017 рік на громадські роботи та інші роботи тимчасового характеру направлено 877 безробітних, на оплату праці безробітних залучено 1 877,5 тис. грн. з міського бюджету.</w:t>
      </w:r>
    </w:p>
    <w:p w:rsidR="003162EE" w:rsidRDefault="003162EE" w:rsidP="003162EE">
      <w:pPr>
        <w:ind w:firstLine="696"/>
        <w:jc w:val="both"/>
        <w:rPr>
          <w:sz w:val="28"/>
          <w:szCs w:val="28"/>
          <w:lang w:eastAsia="ar-SA"/>
        </w:rPr>
      </w:pPr>
      <w:r>
        <w:rPr>
          <w:sz w:val="28"/>
          <w:szCs w:val="28"/>
          <w:lang w:eastAsia="ar-SA"/>
        </w:rPr>
        <w:t xml:space="preserve">Для поєднання попиту громадян з потребою економіки  в працівниках певних професій </w:t>
      </w:r>
      <w:proofErr w:type="spellStart"/>
      <w:r>
        <w:rPr>
          <w:sz w:val="28"/>
          <w:szCs w:val="28"/>
          <w:lang w:eastAsia="ar-SA"/>
        </w:rPr>
        <w:t>міськрайцентр</w:t>
      </w:r>
      <w:proofErr w:type="spellEnd"/>
      <w:r>
        <w:rPr>
          <w:sz w:val="28"/>
          <w:szCs w:val="28"/>
          <w:lang w:eastAsia="ar-SA"/>
        </w:rPr>
        <w:t xml:space="preserve"> зайнятості здійснював заходи щодо їх професійного навчання.</w:t>
      </w:r>
    </w:p>
    <w:p w:rsidR="003162EE" w:rsidRDefault="003162EE" w:rsidP="003162EE">
      <w:pPr>
        <w:ind w:firstLine="696"/>
        <w:jc w:val="both"/>
        <w:rPr>
          <w:sz w:val="28"/>
          <w:szCs w:val="28"/>
          <w:lang w:eastAsia="ar-SA"/>
        </w:rPr>
      </w:pPr>
      <w:r>
        <w:rPr>
          <w:sz w:val="28"/>
          <w:szCs w:val="28"/>
          <w:lang w:eastAsia="ar-SA"/>
        </w:rPr>
        <w:t>Фактично на навчання направлено 428 безробітних, з них 348 безробітних шляхом стажування, 4 безробітних навчались за індивідуальною підготовкою безпосередньо у роботодавців.</w:t>
      </w:r>
    </w:p>
    <w:p w:rsidR="003162EE" w:rsidRDefault="003162EE" w:rsidP="003162EE">
      <w:pPr>
        <w:ind w:firstLine="696"/>
        <w:jc w:val="both"/>
        <w:rPr>
          <w:sz w:val="28"/>
          <w:szCs w:val="28"/>
          <w:lang w:eastAsia="ar-SA"/>
        </w:rPr>
      </w:pPr>
      <w:r>
        <w:rPr>
          <w:sz w:val="28"/>
          <w:szCs w:val="28"/>
          <w:lang w:eastAsia="ar-SA"/>
        </w:rPr>
        <w:tab/>
        <w:t>10 безробітних захистили бізнес-плани та отримали одноразову допомогу по безробіттю для організації власної справи.</w:t>
      </w:r>
    </w:p>
    <w:p w:rsidR="003162EE" w:rsidRDefault="003162EE" w:rsidP="003162EE">
      <w:pPr>
        <w:ind w:firstLine="696"/>
        <w:jc w:val="both"/>
        <w:rPr>
          <w:sz w:val="28"/>
          <w:szCs w:val="28"/>
          <w:lang w:eastAsia="ru-RU"/>
        </w:rPr>
      </w:pPr>
      <w:r>
        <w:rPr>
          <w:sz w:val="28"/>
          <w:szCs w:val="28"/>
        </w:rPr>
        <w:t xml:space="preserve">Станом на 01.12.2017  заборгованість по заробітній платі по активних підприємствах  міста  склала  1 177,6 </w:t>
      </w:r>
      <w:proofErr w:type="spellStart"/>
      <w:r>
        <w:rPr>
          <w:sz w:val="28"/>
          <w:szCs w:val="28"/>
        </w:rPr>
        <w:t>тис.грн</w:t>
      </w:r>
      <w:proofErr w:type="spellEnd"/>
      <w:r>
        <w:rPr>
          <w:sz w:val="28"/>
          <w:szCs w:val="28"/>
        </w:rPr>
        <w:t xml:space="preserve">. (статистика), в </w:t>
      </w:r>
      <w:proofErr w:type="spellStart"/>
      <w:r>
        <w:rPr>
          <w:sz w:val="28"/>
          <w:szCs w:val="28"/>
        </w:rPr>
        <w:t>т.ч</w:t>
      </w:r>
      <w:proofErr w:type="spellEnd"/>
      <w:r>
        <w:rPr>
          <w:sz w:val="28"/>
          <w:szCs w:val="28"/>
        </w:rPr>
        <w:t xml:space="preserve">.:  ДВНЗ «Кременчуцький коледж транспортної інфраструктури» - 1 175,8 </w:t>
      </w:r>
      <w:proofErr w:type="spellStart"/>
      <w:r>
        <w:rPr>
          <w:sz w:val="28"/>
          <w:szCs w:val="28"/>
        </w:rPr>
        <w:t>тис.грн</w:t>
      </w:r>
      <w:proofErr w:type="spellEnd"/>
      <w:r>
        <w:rPr>
          <w:sz w:val="28"/>
          <w:szCs w:val="28"/>
        </w:rPr>
        <w:t xml:space="preserve">., «Кременчуцький льотний коледж НАУ» -  1,8 </w:t>
      </w:r>
      <w:proofErr w:type="spellStart"/>
      <w:r>
        <w:rPr>
          <w:sz w:val="28"/>
          <w:szCs w:val="28"/>
        </w:rPr>
        <w:t>тис.грн</w:t>
      </w:r>
      <w:proofErr w:type="spellEnd"/>
      <w:r>
        <w:rPr>
          <w:sz w:val="28"/>
          <w:szCs w:val="28"/>
        </w:rPr>
        <w:t>.</w:t>
      </w:r>
    </w:p>
    <w:p w:rsidR="003162EE" w:rsidRDefault="003162EE" w:rsidP="003162EE">
      <w:pPr>
        <w:ind w:firstLine="720"/>
        <w:jc w:val="both"/>
        <w:rPr>
          <w:sz w:val="28"/>
          <w:szCs w:val="28"/>
        </w:rPr>
      </w:pPr>
      <w:r>
        <w:rPr>
          <w:sz w:val="28"/>
          <w:szCs w:val="28"/>
        </w:rPr>
        <w:t xml:space="preserve">Середньомісячна заробітна плата працівників м. Кременчука </w:t>
      </w:r>
      <w:r w:rsidR="000B2051">
        <w:rPr>
          <w:sz w:val="28"/>
          <w:szCs w:val="28"/>
        </w:rPr>
        <w:t>за 9 місяців 2017 року склала 6</w:t>
      </w:r>
      <w:r>
        <w:rPr>
          <w:sz w:val="28"/>
          <w:szCs w:val="28"/>
        </w:rPr>
        <w:t xml:space="preserve"> 914,00 грн., що на 42,6 % більше, ніж за відповідний період минулого року. </w:t>
      </w:r>
    </w:p>
    <w:p w:rsidR="003162EE" w:rsidRDefault="003162EE" w:rsidP="003162EE">
      <w:pPr>
        <w:ind w:firstLine="708"/>
        <w:jc w:val="both"/>
        <w:rPr>
          <w:sz w:val="28"/>
          <w:szCs w:val="28"/>
        </w:rPr>
      </w:pPr>
      <w:r>
        <w:rPr>
          <w:sz w:val="28"/>
          <w:szCs w:val="28"/>
        </w:rPr>
        <w:t>Результатами спільних заходів та зусиль є досягнення й в інших сферах діяльності міста.</w:t>
      </w:r>
    </w:p>
    <w:p w:rsidR="003162EE" w:rsidRDefault="003162EE" w:rsidP="003162EE">
      <w:pPr>
        <w:ind w:firstLine="708"/>
        <w:jc w:val="both"/>
        <w:rPr>
          <w:sz w:val="28"/>
          <w:szCs w:val="28"/>
        </w:rPr>
      </w:pPr>
    </w:p>
    <w:p w:rsidR="003162EE" w:rsidRDefault="003162EE" w:rsidP="003162EE">
      <w:pPr>
        <w:jc w:val="center"/>
        <w:rPr>
          <w:b/>
          <w:bCs/>
          <w:sz w:val="28"/>
          <w:szCs w:val="28"/>
        </w:rPr>
      </w:pPr>
      <w:r>
        <w:rPr>
          <w:b/>
          <w:sz w:val="28"/>
          <w:szCs w:val="28"/>
        </w:rPr>
        <w:t>ДОХОДИ</w:t>
      </w:r>
    </w:p>
    <w:p w:rsidR="003162EE" w:rsidRDefault="003162EE" w:rsidP="003162EE">
      <w:pPr>
        <w:jc w:val="center"/>
        <w:rPr>
          <w:b/>
          <w:bCs/>
          <w:sz w:val="28"/>
          <w:szCs w:val="28"/>
        </w:rPr>
      </w:pPr>
      <w:r>
        <w:rPr>
          <w:b/>
          <w:bCs/>
          <w:sz w:val="28"/>
          <w:szCs w:val="28"/>
        </w:rPr>
        <w:t>Загальний фонд</w:t>
      </w:r>
    </w:p>
    <w:p w:rsidR="003162EE" w:rsidRDefault="003162EE" w:rsidP="003162EE">
      <w:pPr>
        <w:jc w:val="center"/>
        <w:rPr>
          <w:b/>
          <w:bCs/>
          <w:sz w:val="28"/>
          <w:szCs w:val="28"/>
        </w:rPr>
      </w:pPr>
    </w:p>
    <w:p w:rsidR="003162EE" w:rsidRDefault="003162EE" w:rsidP="003162EE">
      <w:pPr>
        <w:ind w:firstLine="709"/>
        <w:jc w:val="both"/>
        <w:rPr>
          <w:bCs/>
          <w:sz w:val="28"/>
          <w:szCs w:val="28"/>
        </w:rPr>
      </w:pPr>
      <w:r>
        <w:rPr>
          <w:sz w:val="28"/>
          <w:szCs w:val="28"/>
        </w:rPr>
        <w:t xml:space="preserve">Починаючи з 2016 року  бюджет міста складається з міського бюджету </w:t>
      </w:r>
      <w:proofErr w:type="spellStart"/>
      <w:r>
        <w:rPr>
          <w:sz w:val="28"/>
          <w:szCs w:val="28"/>
        </w:rPr>
        <w:t>м.Кременчука</w:t>
      </w:r>
      <w:proofErr w:type="spellEnd"/>
      <w:r>
        <w:rPr>
          <w:sz w:val="28"/>
          <w:szCs w:val="28"/>
        </w:rPr>
        <w:t xml:space="preserve">, оскільки 24.02.2015 Кременчуцькою міською радою Полтавської області  було прийняте рішення про </w:t>
      </w:r>
      <w:proofErr w:type="spellStart"/>
      <w:r>
        <w:rPr>
          <w:sz w:val="28"/>
          <w:szCs w:val="28"/>
        </w:rPr>
        <w:t>неутворення</w:t>
      </w:r>
      <w:proofErr w:type="spellEnd"/>
      <w:r>
        <w:rPr>
          <w:sz w:val="28"/>
          <w:szCs w:val="28"/>
        </w:rPr>
        <w:t xml:space="preserve"> Автозаводської та </w:t>
      </w:r>
      <w:proofErr w:type="spellStart"/>
      <w:r>
        <w:rPr>
          <w:sz w:val="28"/>
          <w:szCs w:val="28"/>
        </w:rPr>
        <w:t>Крюківської</w:t>
      </w:r>
      <w:proofErr w:type="spellEnd"/>
      <w:r>
        <w:rPr>
          <w:sz w:val="28"/>
          <w:szCs w:val="28"/>
        </w:rPr>
        <w:t xml:space="preserve"> районних у місті рад м. Кременчука після закінчення строку повноважень районних у місті </w:t>
      </w:r>
      <w:proofErr w:type="spellStart"/>
      <w:r>
        <w:rPr>
          <w:sz w:val="28"/>
          <w:szCs w:val="28"/>
        </w:rPr>
        <w:t>Кременчуці</w:t>
      </w:r>
      <w:proofErr w:type="spellEnd"/>
      <w:r>
        <w:rPr>
          <w:sz w:val="28"/>
          <w:szCs w:val="28"/>
        </w:rPr>
        <w:t xml:space="preserve"> рад </w:t>
      </w:r>
      <w:r>
        <w:rPr>
          <w:sz w:val="28"/>
          <w:szCs w:val="28"/>
          <w:lang w:val="en-US"/>
        </w:rPr>
        <w:t>VI</w:t>
      </w:r>
      <w:r>
        <w:rPr>
          <w:sz w:val="28"/>
          <w:szCs w:val="28"/>
        </w:rPr>
        <w:t xml:space="preserve"> скликання.</w:t>
      </w:r>
    </w:p>
    <w:p w:rsidR="003162EE" w:rsidRDefault="003162EE" w:rsidP="003162EE">
      <w:pPr>
        <w:ind w:firstLine="709"/>
        <w:jc w:val="both"/>
        <w:rPr>
          <w:sz w:val="28"/>
          <w:szCs w:val="28"/>
        </w:rPr>
      </w:pPr>
      <w:r>
        <w:rPr>
          <w:sz w:val="28"/>
          <w:szCs w:val="28"/>
        </w:rPr>
        <w:t xml:space="preserve">Відповідно до звіту, поданого управлінням Державної казначейської служби України  у м. </w:t>
      </w:r>
      <w:proofErr w:type="spellStart"/>
      <w:r>
        <w:rPr>
          <w:sz w:val="28"/>
          <w:szCs w:val="28"/>
        </w:rPr>
        <w:t>Кременчуці</w:t>
      </w:r>
      <w:proofErr w:type="spellEnd"/>
      <w:r>
        <w:rPr>
          <w:sz w:val="28"/>
          <w:szCs w:val="28"/>
        </w:rPr>
        <w:t xml:space="preserve"> Полтавської області,  за  2017 рік  до міського  бюджету </w:t>
      </w:r>
      <w:proofErr w:type="spellStart"/>
      <w:r>
        <w:rPr>
          <w:sz w:val="28"/>
          <w:szCs w:val="28"/>
        </w:rPr>
        <w:t>м.Кременчука</w:t>
      </w:r>
      <w:proofErr w:type="spellEnd"/>
      <w:r>
        <w:rPr>
          <w:sz w:val="28"/>
          <w:szCs w:val="28"/>
        </w:rPr>
        <w:t xml:space="preserve"> при уточненому річному плані загального фонду без офіційних   трансфертів</w:t>
      </w:r>
      <w:r>
        <w:rPr>
          <w:color w:val="FF0000"/>
          <w:sz w:val="28"/>
          <w:szCs w:val="28"/>
        </w:rPr>
        <w:t xml:space="preserve">    </w:t>
      </w:r>
      <w:r>
        <w:rPr>
          <w:sz w:val="28"/>
          <w:szCs w:val="28"/>
        </w:rPr>
        <w:t>1 067 842,5</w:t>
      </w:r>
      <w:r>
        <w:rPr>
          <w:color w:val="FF0000"/>
          <w:sz w:val="28"/>
          <w:szCs w:val="28"/>
        </w:rPr>
        <w:t xml:space="preserve">   </w:t>
      </w:r>
      <w:r>
        <w:rPr>
          <w:sz w:val="28"/>
          <w:szCs w:val="28"/>
        </w:rPr>
        <w:t xml:space="preserve">тис. грн. надійшло доходів - 1 086 645,3  тис. грн.  або виконання уточненого плану забезпечено на 101,8 % /+/ 18 802,8 </w:t>
      </w:r>
      <w:proofErr w:type="spellStart"/>
      <w:r>
        <w:rPr>
          <w:sz w:val="28"/>
          <w:szCs w:val="28"/>
        </w:rPr>
        <w:t>тис.грн</w:t>
      </w:r>
      <w:proofErr w:type="spellEnd"/>
      <w:r>
        <w:rPr>
          <w:sz w:val="28"/>
          <w:szCs w:val="28"/>
        </w:rPr>
        <w:t xml:space="preserve">.. По офіційних трансфертах  при уточненому  річному плані 1 207 631,7 </w:t>
      </w:r>
      <w:proofErr w:type="spellStart"/>
      <w:r>
        <w:rPr>
          <w:sz w:val="28"/>
          <w:szCs w:val="28"/>
        </w:rPr>
        <w:t>тис.грн</w:t>
      </w:r>
      <w:proofErr w:type="spellEnd"/>
      <w:r>
        <w:rPr>
          <w:sz w:val="28"/>
          <w:szCs w:val="28"/>
        </w:rPr>
        <w:t xml:space="preserve">. фактично отримано -  </w:t>
      </w:r>
      <w:r>
        <w:rPr>
          <w:sz w:val="28"/>
          <w:szCs w:val="28"/>
          <w:lang w:val="ru-RU"/>
        </w:rPr>
        <w:t>1 149 523,6</w:t>
      </w:r>
      <w:r>
        <w:rPr>
          <w:sz w:val="28"/>
          <w:szCs w:val="28"/>
        </w:rPr>
        <w:t xml:space="preserve"> </w:t>
      </w:r>
      <w:proofErr w:type="spellStart"/>
      <w:r>
        <w:rPr>
          <w:sz w:val="28"/>
          <w:szCs w:val="28"/>
        </w:rPr>
        <w:t>тис.грн</w:t>
      </w:r>
      <w:proofErr w:type="spellEnd"/>
      <w:r>
        <w:rPr>
          <w:sz w:val="28"/>
          <w:szCs w:val="28"/>
        </w:rPr>
        <w:t>. або 95,2% до уточненого плану.</w:t>
      </w:r>
    </w:p>
    <w:p w:rsidR="003162EE" w:rsidRDefault="003162EE" w:rsidP="003162EE">
      <w:pPr>
        <w:ind w:firstLine="709"/>
        <w:jc w:val="both"/>
        <w:rPr>
          <w:sz w:val="28"/>
          <w:szCs w:val="28"/>
        </w:rPr>
      </w:pPr>
      <w:r>
        <w:rPr>
          <w:sz w:val="28"/>
          <w:szCs w:val="28"/>
        </w:rPr>
        <w:t xml:space="preserve">Всього уточнений план по загальному фонду склав </w:t>
      </w:r>
      <w:r>
        <w:rPr>
          <w:sz w:val="28"/>
          <w:szCs w:val="28"/>
          <w:lang w:val="ru-RU"/>
        </w:rPr>
        <w:t>2 275 474,2 тис.</w:t>
      </w:r>
      <w:r>
        <w:rPr>
          <w:sz w:val="28"/>
          <w:szCs w:val="28"/>
        </w:rPr>
        <w:t xml:space="preserve"> грн., фактично отримано – </w:t>
      </w:r>
      <w:r>
        <w:rPr>
          <w:sz w:val="28"/>
          <w:szCs w:val="28"/>
          <w:lang w:val="ru-RU"/>
        </w:rPr>
        <w:t>2 236 168,9</w:t>
      </w:r>
      <w:r>
        <w:rPr>
          <w:sz w:val="28"/>
          <w:szCs w:val="28"/>
        </w:rPr>
        <w:t xml:space="preserve"> тис. грн.  або виконання склало   </w:t>
      </w:r>
      <w:r>
        <w:rPr>
          <w:sz w:val="28"/>
          <w:szCs w:val="28"/>
          <w:lang w:val="ru-RU"/>
        </w:rPr>
        <w:t>98,3</w:t>
      </w:r>
      <w:r>
        <w:rPr>
          <w:sz w:val="28"/>
          <w:szCs w:val="28"/>
        </w:rPr>
        <w:t xml:space="preserve">%                  /-/ 39 305,3 </w:t>
      </w:r>
      <w:proofErr w:type="spellStart"/>
      <w:r>
        <w:rPr>
          <w:sz w:val="28"/>
          <w:szCs w:val="28"/>
        </w:rPr>
        <w:t>тис.грн</w:t>
      </w:r>
      <w:proofErr w:type="spellEnd"/>
      <w:r>
        <w:rPr>
          <w:sz w:val="28"/>
          <w:szCs w:val="28"/>
        </w:rPr>
        <w:t>..</w:t>
      </w:r>
    </w:p>
    <w:p w:rsidR="003162EE" w:rsidRDefault="003162EE" w:rsidP="003162EE">
      <w:pPr>
        <w:ind w:firstLine="709"/>
        <w:jc w:val="both"/>
        <w:rPr>
          <w:sz w:val="28"/>
          <w:szCs w:val="28"/>
        </w:rPr>
      </w:pPr>
      <w:r>
        <w:rPr>
          <w:sz w:val="28"/>
          <w:szCs w:val="28"/>
        </w:rPr>
        <w:t xml:space="preserve">До первинно затвердженого плану без офіційних трансфертів                 914 972,0 </w:t>
      </w:r>
      <w:proofErr w:type="spellStart"/>
      <w:r>
        <w:rPr>
          <w:sz w:val="28"/>
          <w:szCs w:val="28"/>
        </w:rPr>
        <w:t>тис.грн</w:t>
      </w:r>
      <w:proofErr w:type="spellEnd"/>
      <w:r>
        <w:rPr>
          <w:sz w:val="28"/>
          <w:szCs w:val="28"/>
        </w:rPr>
        <w:t xml:space="preserve">. виконання склало 118,8% або /+/ 171 673,3 </w:t>
      </w:r>
      <w:proofErr w:type="spellStart"/>
      <w:r>
        <w:rPr>
          <w:sz w:val="28"/>
          <w:szCs w:val="28"/>
        </w:rPr>
        <w:t>тис.грн</w:t>
      </w:r>
      <w:proofErr w:type="spellEnd"/>
      <w:r>
        <w:rPr>
          <w:sz w:val="28"/>
          <w:szCs w:val="28"/>
        </w:rPr>
        <w:t>.</w:t>
      </w:r>
    </w:p>
    <w:p w:rsidR="003162EE" w:rsidRDefault="003162EE" w:rsidP="003162EE">
      <w:pPr>
        <w:ind w:firstLine="709"/>
        <w:jc w:val="both"/>
        <w:rPr>
          <w:sz w:val="28"/>
          <w:szCs w:val="28"/>
        </w:rPr>
      </w:pPr>
    </w:p>
    <w:p w:rsidR="003162EE" w:rsidRDefault="003162EE" w:rsidP="003162EE">
      <w:pPr>
        <w:ind w:firstLine="708"/>
        <w:jc w:val="both"/>
        <w:rPr>
          <w:sz w:val="28"/>
          <w:szCs w:val="28"/>
        </w:rPr>
      </w:pPr>
      <w:r>
        <w:rPr>
          <w:sz w:val="28"/>
          <w:szCs w:val="28"/>
        </w:rPr>
        <w:lastRenderedPageBreak/>
        <w:t xml:space="preserve">                                                                                                        </w:t>
      </w:r>
      <w:proofErr w:type="spellStart"/>
      <w:r>
        <w:rPr>
          <w:sz w:val="28"/>
          <w:szCs w:val="28"/>
        </w:rPr>
        <w:t>тис.грн</w:t>
      </w:r>
      <w:proofErr w:type="spellEnd"/>
      <w:r>
        <w:rPr>
          <w:sz w:val="28"/>
          <w:szCs w:val="28"/>
        </w:rPr>
        <w:t xml:space="preserve">.    </w:t>
      </w:r>
    </w:p>
    <w:p w:rsidR="003162EE" w:rsidRDefault="003162EE" w:rsidP="003162EE">
      <w:pPr>
        <w:rPr>
          <w:bCs/>
          <w:iCs/>
          <w:color w:val="FF0000"/>
          <w:sz w:val="28"/>
          <w:szCs w:val="28"/>
        </w:rPr>
      </w:pPr>
      <w:r>
        <w:rPr>
          <w:noProof/>
          <w:lang w:val="ru-RU" w:eastAsia="ru-RU"/>
        </w:rPr>
        <w:drawing>
          <wp:inline distT="0" distB="0" distL="0" distR="0">
            <wp:extent cx="5994400" cy="3683000"/>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94400" cy="3683000"/>
                    </a:xfrm>
                    <a:prstGeom prst="rect">
                      <a:avLst/>
                    </a:prstGeom>
                    <a:noFill/>
                    <a:ln>
                      <a:noFill/>
                    </a:ln>
                  </pic:spPr>
                </pic:pic>
              </a:graphicData>
            </a:graphic>
          </wp:inline>
        </w:drawing>
      </w:r>
    </w:p>
    <w:p w:rsidR="003162EE" w:rsidRDefault="003162EE" w:rsidP="003162EE">
      <w:pPr>
        <w:ind w:firstLine="708"/>
        <w:jc w:val="both"/>
        <w:rPr>
          <w:sz w:val="28"/>
          <w:szCs w:val="28"/>
        </w:rPr>
      </w:pPr>
    </w:p>
    <w:p w:rsidR="003162EE" w:rsidRDefault="003162EE" w:rsidP="003162EE">
      <w:pPr>
        <w:ind w:firstLine="708"/>
        <w:jc w:val="both"/>
        <w:rPr>
          <w:sz w:val="28"/>
          <w:szCs w:val="28"/>
        </w:rPr>
      </w:pPr>
      <w:r>
        <w:rPr>
          <w:sz w:val="28"/>
          <w:szCs w:val="28"/>
        </w:rPr>
        <w:t xml:space="preserve">В квітні та липні місяцях 2017 року рішенням міської ради за підсумками виконання міського бюджету за  І квартал та І півріччя  2017 року були  внесені зміни до показників міського бюджету та збільшено доходну частину загального фонду бюджету на суму 18 218,9 </w:t>
      </w:r>
      <w:proofErr w:type="spellStart"/>
      <w:r>
        <w:rPr>
          <w:sz w:val="28"/>
          <w:szCs w:val="28"/>
        </w:rPr>
        <w:t>тис.грн</w:t>
      </w:r>
      <w:proofErr w:type="spellEnd"/>
      <w:r>
        <w:rPr>
          <w:sz w:val="28"/>
          <w:szCs w:val="28"/>
        </w:rPr>
        <w:t xml:space="preserve">. та  </w:t>
      </w:r>
      <w:r w:rsidR="000B2051">
        <w:rPr>
          <w:sz w:val="28"/>
          <w:szCs w:val="28"/>
        </w:rPr>
        <w:t xml:space="preserve">                   </w:t>
      </w:r>
      <w:r>
        <w:rPr>
          <w:sz w:val="28"/>
          <w:szCs w:val="28"/>
        </w:rPr>
        <w:t xml:space="preserve">134 651,6 </w:t>
      </w:r>
      <w:proofErr w:type="spellStart"/>
      <w:r>
        <w:rPr>
          <w:sz w:val="28"/>
          <w:szCs w:val="28"/>
        </w:rPr>
        <w:t>тис.грн</w:t>
      </w:r>
      <w:proofErr w:type="spellEnd"/>
      <w:r>
        <w:rPr>
          <w:sz w:val="28"/>
          <w:szCs w:val="28"/>
        </w:rPr>
        <w:t xml:space="preserve">. відповідно, всього сума збільшення  склала </w:t>
      </w:r>
      <w:r w:rsidR="000B2051">
        <w:rPr>
          <w:sz w:val="28"/>
          <w:szCs w:val="28"/>
        </w:rPr>
        <w:t xml:space="preserve">                                   </w:t>
      </w:r>
      <w:r>
        <w:rPr>
          <w:sz w:val="28"/>
          <w:szCs w:val="28"/>
        </w:rPr>
        <w:t xml:space="preserve">152 870,5 </w:t>
      </w:r>
      <w:proofErr w:type="spellStart"/>
      <w:r>
        <w:rPr>
          <w:sz w:val="28"/>
          <w:szCs w:val="28"/>
        </w:rPr>
        <w:t>тис.грн</w:t>
      </w:r>
      <w:proofErr w:type="spellEnd"/>
      <w:r>
        <w:rPr>
          <w:sz w:val="28"/>
          <w:szCs w:val="28"/>
        </w:rPr>
        <w:t>.</w:t>
      </w:r>
    </w:p>
    <w:p w:rsidR="003162EE" w:rsidRDefault="003162EE" w:rsidP="003162EE">
      <w:pPr>
        <w:tabs>
          <w:tab w:val="left" w:pos="2895"/>
          <w:tab w:val="left" w:pos="5655"/>
          <w:tab w:val="left" w:pos="8460"/>
        </w:tabs>
        <w:ind w:firstLine="709"/>
        <w:jc w:val="both"/>
        <w:rPr>
          <w:sz w:val="28"/>
          <w:szCs w:val="28"/>
        </w:rPr>
      </w:pPr>
      <w:r>
        <w:rPr>
          <w:sz w:val="28"/>
          <w:szCs w:val="28"/>
        </w:rPr>
        <w:t xml:space="preserve">Основними джерелами надходжень, що формують доходну частину  загального фонду міського бюджету, є чотири податки, які  складають </w:t>
      </w:r>
      <w:r>
        <w:rPr>
          <w:sz w:val="28"/>
          <w:szCs w:val="28"/>
          <w:lang w:val="ru-RU"/>
        </w:rPr>
        <w:t>96,1</w:t>
      </w:r>
      <w:r>
        <w:rPr>
          <w:sz w:val="28"/>
          <w:szCs w:val="28"/>
        </w:rPr>
        <w:t xml:space="preserve">% в доходній частині загального фонду (1 086 645,3 </w:t>
      </w:r>
      <w:proofErr w:type="spellStart"/>
      <w:r>
        <w:rPr>
          <w:sz w:val="28"/>
          <w:szCs w:val="28"/>
        </w:rPr>
        <w:t>тис.грн</w:t>
      </w:r>
      <w:proofErr w:type="spellEnd"/>
      <w:r>
        <w:rPr>
          <w:sz w:val="28"/>
          <w:szCs w:val="28"/>
        </w:rPr>
        <w:t>.):</w:t>
      </w:r>
    </w:p>
    <w:p w:rsidR="003162EE" w:rsidRDefault="003162EE" w:rsidP="003162EE">
      <w:pPr>
        <w:tabs>
          <w:tab w:val="left" w:pos="2895"/>
          <w:tab w:val="left" w:pos="5655"/>
          <w:tab w:val="left" w:pos="8460"/>
        </w:tabs>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7"/>
        <w:gridCol w:w="2415"/>
        <w:gridCol w:w="2182"/>
      </w:tblGrid>
      <w:tr w:rsidR="003162EE" w:rsidTr="003162EE">
        <w:trPr>
          <w:trHeight w:val="594"/>
        </w:trPr>
        <w:tc>
          <w:tcPr>
            <w:tcW w:w="3285" w:type="dxa"/>
            <w:tcBorders>
              <w:top w:val="single" w:sz="4" w:space="0" w:color="auto"/>
              <w:left w:val="single" w:sz="4" w:space="0" w:color="auto"/>
              <w:bottom w:val="single" w:sz="4" w:space="0" w:color="auto"/>
              <w:right w:val="single" w:sz="4" w:space="0" w:color="auto"/>
            </w:tcBorders>
          </w:tcPr>
          <w:p w:rsidR="003162EE" w:rsidRDefault="003162EE">
            <w:pPr>
              <w:tabs>
                <w:tab w:val="left" w:pos="2895"/>
                <w:tab w:val="left" w:pos="5655"/>
                <w:tab w:val="left" w:pos="8460"/>
              </w:tabs>
              <w:jc w:val="both"/>
              <w:rPr>
                <w:sz w:val="28"/>
                <w:szCs w:val="28"/>
              </w:rPr>
            </w:pPr>
          </w:p>
        </w:tc>
        <w:tc>
          <w:tcPr>
            <w:tcW w:w="3285" w:type="dxa"/>
            <w:tcBorders>
              <w:top w:val="single" w:sz="4" w:space="0" w:color="auto"/>
              <w:left w:val="single" w:sz="4" w:space="0" w:color="auto"/>
              <w:bottom w:val="single" w:sz="4" w:space="0" w:color="auto"/>
              <w:right w:val="single" w:sz="4" w:space="0" w:color="auto"/>
            </w:tcBorders>
            <w:vAlign w:val="center"/>
            <w:hideMark/>
          </w:tcPr>
          <w:p w:rsidR="003162EE" w:rsidRDefault="003162EE">
            <w:pPr>
              <w:tabs>
                <w:tab w:val="left" w:pos="2895"/>
                <w:tab w:val="left" w:pos="5655"/>
                <w:tab w:val="left" w:pos="8460"/>
              </w:tabs>
              <w:jc w:val="center"/>
              <w:rPr>
                <w:sz w:val="28"/>
                <w:szCs w:val="28"/>
              </w:rPr>
            </w:pPr>
            <w:proofErr w:type="spellStart"/>
            <w:r>
              <w:rPr>
                <w:sz w:val="28"/>
                <w:szCs w:val="28"/>
              </w:rPr>
              <w:t>тис.грн</w:t>
            </w:r>
            <w:proofErr w:type="spellEnd"/>
            <w:r>
              <w:rPr>
                <w:sz w:val="28"/>
                <w:szCs w:val="28"/>
              </w:rPr>
              <w:t>.</w:t>
            </w:r>
          </w:p>
        </w:tc>
        <w:tc>
          <w:tcPr>
            <w:tcW w:w="3285" w:type="dxa"/>
            <w:tcBorders>
              <w:top w:val="single" w:sz="4" w:space="0" w:color="auto"/>
              <w:left w:val="single" w:sz="4" w:space="0" w:color="auto"/>
              <w:bottom w:val="single" w:sz="4" w:space="0" w:color="auto"/>
              <w:right w:val="single" w:sz="4" w:space="0" w:color="auto"/>
            </w:tcBorders>
            <w:vAlign w:val="center"/>
            <w:hideMark/>
          </w:tcPr>
          <w:p w:rsidR="003162EE" w:rsidRDefault="003162EE">
            <w:pPr>
              <w:jc w:val="center"/>
              <w:rPr>
                <w:sz w:val="28"/>
                <w:szCs w:val="28"/>
              </w:rPr>
            </w:pPr>
            <w:r>
              <w:rPr>
                <w:sz w:val="28"/>
                <w:szCs w:val="28"/>
              </w:rPr>
              <w:t>питома вага, %</w:t>
            </w:r>
          </w:p>
        </w:tc>
      </w:tr>
      <w:tr w:rsidR="003162EE" w:rsidTr="003162EE">
        <w:tc>
          <w:tcPr>
            <w:tcW w:w="3285" w:type="dxa"/>
            <w:tcBorders>
              <w:top w:val="single" w:sz="4" w:space="0" w:color="auto"/>
              <w:left w:val="single" w:sz="4" w:space="0" w:color="auto"/>
              <w:bottom w:val="single" w:sz="4" w:space="0" w:color="auto"/>
              <w:right w:val="single" w:sz="4" w:space="0" w:color="auto"/>
            </w:tcBorders>
            <w:hideMark/>
          </w:tcPr>
          <w:p w:rsidR="003162EE" w:rsidRDefault="003162EE">
            <w:pPr>
              <w:tabs>
                <w:tab w:val="left" w:pos="2895"/>
                <w:tab w:val="left" w:pos="5655"/>
                <w:tab w:val="left" w:pos="8460"/>
              </w:tabs>
              <w:jc w:val="both"/>
              <w:rPr>
                <w:sz w:val="28"/>
                <w:szCs w:val="28"/>
              </w:rPr>
            </w:pPr>
            <w:r>
              <w:rPr>
                <w:sz w:val="28"/>
                <w:szCs w:val="28"/>
              </w:rPr>
              <w:t xml:space="preserve">податок та збір на доходи фізичних осіб (11010000)      </w:t>
            </w:r>
          </w:p>
        </w:tc>
        <w:tc>
          <w:tcPr>
            <w:tcW w:w="3285" w:type="dxa"/>
            <w:tcBorders>
              <w:top w:val="single" w:sz="4" w:space="0" w:color="auto"/>
              <w:left w:val="single" w:sz="4" w:space="0" w:color="auto"/>
              <w:bottom w:val="single" w:sz="4" w:space="0" w:color="auto"/>
              <w:right w:val="single" w:sz="4" w:space="0" w:color="auto"/>
            </w:tcBorders>
            <w:vAlign w:val="center"/>
            <w:hideMark/>
          </w:tcPr>
          <w:p w:rsidR="003162EE" w:rsidRDefault="003162EE">
            <w:pPr>
              <w:tabs>
                <w:tab w:val="left" w:pos="2895"/>
                <w:tab w:val="left" w:pos="5655"/>
                <w:tab w:val="left" w:pos="8460"/>
              </w:tabs>
              <w:jc w:val="center"/>
              <w:rPr>
                <w:sz w:val="28"/>
                <w:szCs w:val="28"/>
              </w:rPr>
            </w:pPr>
            <w:r>
              <w:rPr>
                <w:sz w:val="28"/>
                <w:szCs w:val="28"/>
                <w:lang w:val="ru-RU"/>
              </w:rPr>
              <w:t>681 953,8</w:t>
            </w:r>
          </w:p>
        </w:tc>
        <w:tc>
          <w:tcPr>
            <w:tcW w:w="3285" w:type="dxa"/>
            <w:tcBorders>
              <w:top w:val="single" w:sz="4" w:space="0" w:color="auto"/>
              <w:left w:val="single" w:sz="4" w:space="0" w:color="auto"/>
              <w:bottom w:val="single" w:sz="4" w:space="0" w:color="auto"/>
              <w:right w:val="single" w:sz="4" w:space="0" w:color="auto"/>
            </w:tcBorders>
            <w:vAlign w:val="center"/>
          </w:tcPr>
          <w:p w:rsidR="003162EE" w:rsidRDefault="003162EE">
            <w:pPr>
              <w:tabs>
                <w:tab w:val="left" w:pos="0"/>
                <w:tab w:val="left" w:pos="5040"/>
                <w:tab w:val="left" w:pos="6840"/>
                <w:tab w:val="left" w:pos="7020"/>
                <w:tab w:val="left" w:pos="8789"/>
                <w:tab w:val="left" w:pos="8931"/>
                <w:tab w:val="left" w:pos="9214"/>
              </w:tabs>
              <w:jc w:val="center"/>
              <w:rPr>
                <w:sz w:val="28"/>
                <w:szCs w:val="28"/>
              </w:rPr>
            </w:pPr>
            <w:r>
              <w:rPr>
                <w:sz w:val="28"/>
                <w:szCs w:val="28"/>
              </w:rPr>
              <w:t>62,7</w:t>
            </w:r>
          </w:p>
          <w:p w:rsidR="003162EE" w:rsidRDefault="003162EE">
            <w:pPr>
              <w:tabs>
                <w:tab w:val="left" w:pos="2895"/>
                <w:tab w:val="left" w:pos="5655"/>
                <w:tab w:val="left" w:pos="8460"/>
              </w:tabs>
              <w:jc w:val="center"/>
              <w:rPr>
                <w:sz w:val="28"/>
                <w:szCs w:val="28"/>
              </w:rPr>
            </w:pPr>
          </w:p>
        </w:tc>
      </w:tr>
      <w:tr w:rsidR="003162EE" w:rsidTr="003162EE">
        <w:tc>
          <w:tcPr>
            <w:tcW w:w="3285" w:type="dxa"/>
            <w:tcBorders>
              <w:top w:val="single" w:sz="4" w:space="0" w:color="auto"/>
              <w:left w:val="single" w:sz="4" w:space="0" w:color="auto"/>
              <w:bottom w:val="single" w:sz="4" w:space="0" w:color="auto"/>
              <w:right w:val="single" w:sz="4" w:space="0" w:color="auto"/>
            </w:tcBorders>
            <w:hideMark/>
          </w:tcPr>
          <w:p w:rsidR="003162EE" w:rsidRDefault="003162EE">
            <w:pPr>
              <w:tabs>
                <w:tab w:val="left" w:pos="0"/>
                <w:tab w:val="left" w:pos="8907"/>
              </w:tabs>
              <w:jc w:val="both"/>
              <w:rPr>
                <w:sz w:val="28"/>
                <w:szCs w:val="28"/>
              </w:rPr>
            </w:pPr>
            <w:r>
              <w:rPr>
                <w:sz w:val="28"/>
                <w:szCs w:val="28"/>
              </w:rPr>
              <w:t>податок на майно в частині  земельного податку (18010500-18010900)</w:t>
            </w:r>
            <w:r>
              <w:rPr>
                <w:sz w:val="28"/>
                <w:szCs w:val="28"/>
                <w:lang w:val="ru-RU"/>
              </w:rPr>
              <w:t xml:space="preserve"> </w:t>
            </w:r>
          </w:p>
        </w:tc>
        <w:tc>
          <w:tcPr>
            <w:tcW w:w="3285" w:type="dxa"/>
            <w:tcBorders>
              <w:top w:val="single" w:sz="4" w:space="0" w:color="auto"/>
              <w:left w:val="single" w:sz="4" w:space="0" w:color="auto"/>
              <w:bottom w:val="single" w:sz="4" w:space="0" w:color="auto"/>
              <w:right w:val="single" w:sz="4" w:space="0" w:color="auto"/>
            </w:tcBorders>
            <w:vAlign w:val="center"/>
            <w:hideMark/>
          </w:tcPr>
          <w:p w:rsidR="003162EE" w:rsidRDefault="003162EE">
            <w:pPr>
              <w:tabs>
                <w:tab w:val="left" w:pos="2895"/>
                <w:tab w:val="left" w:pos="5655"/>
                <w:tab w:val="left" w:pos="8460"/>
              </w:tabs>
              <w:jc w:val="center"/>
              <w:rPr>
                <w:sz w:val="28"/>
                <w:szCs w:val="28"/>
              </w:rPr>
            </w:pPr>
            <w:r>
              <w:rPr>
                <w:sz w:val="28"/>
                <w:szCs w:val="28"/>
                <w:lang w:val="ru-RU"/>
              </w:rPr>
              <w:t>163 579,0</w:t>
            </w:r>
          </w:p>
        </w:tc>
        <w:tc>
          <w:tcPr>
            <w:tcW w:w="3285" w:type="dxa"/>
            <w:tcBorders>
              <w:top w:val="single" w:sz="4" w:space="0" w:color="auto"/>
              <w:left w:val="single" w:sz="4" w:space="0" w:color="auto"/>
              <w:bottom w:val="single" w:sz="4" w:space="0" w:color="auto"/>
              <w:right w:val="single" w:sz="4" w:space="0" w:color="auto"/>
            </w:tcBorders>
            <w:vAlign w:val="center"/>
          </w:tcPr>
          <w:p w:rsidR="003162EE" w:rsidRDefault="003162EE">
            <w:pPr>
              <w:tabs>
                <w:tab w:val="left" w:pos="0"/>
                <w:tab w:val="left" w:pos="7230"/>
                <w:tab w:val="left" w:pos="8800"/>
              </w:tabs>
              <w:jc w:val="center"/>
              <w:rPr>
                <w:sz w:val="28"/>
                <w:szCs w:val="28"/>
              </w:rPr>
            </w:pPr>
            <w:r>
              <w:rPr>
                <w:sz w:val="28"/>
                <w:szCs w:val="28"/>
              </w:rPr>
              <w:t>15,1</w:t>
            </w:r>
          </w:p>
          <w:p w:rsidR="003162EE" w:rsidRDefault="003162EE">
            <w:pPr>
              <w:tabs>
                <w:tab w:val="left" w:pos="2895"/>
                <w:tab w:val="left" w:pos="5655"/>
                <w:tab w:val="left" w:pos="8460"/>
              </w:tabs>
              <w:jc w:val="center"/>
              <w:rPr>
                <w:sz w:val="28"/>
                <w:szCs w:val="28"/>
              </w:rPr>
            </w:pPr>
          </w:p>
        </w:tc>
      </w:tr>
      <w:tr w:rsidR="003162EE" w:rsidTr="003162EE">
        <w:tc>
          <w:tcPr>
            <w:tcW w:w="3285" w:type="dxa"/>
            <w:tcBorders>
              <w:top w:val="single" w:sz="4" w:space="0" w:color="auto"/>
              <w:left w:val="single" w:sz="4" w:space="0" w:color="auto"/>
              <w:bottom w:val="single" w:sz="4" w:space="0" w:color="auto"/>
              <w:right w:val="single" w:sz="4" w:space="0" w:color="auto"/>
            </w:tcBorders>
            <w:hideMark/>
          </w:tcPr>
          <w:p w:rsidR="003162EE" w:rsidRDefault="003162EE">
            <w:pPr>
              <w:tabs>
                <w:tab w:val="left" w:pos="2895"/>
                <w:tab w:val="left" w:pos="5655"/>
                <w:tab w:val="left" w:pos="8460"/>
              </w:tabs>
              <w:rPr>
                <w:sz w:val="28"/>
                <w:szCs w:val="28"/>
              </w:rPr>
            </w:pPr>
            <w:r>
              <w:rPr>
                <w:sz w:val="28"/>
                <w:szCs w:val="28"/>
              </w:rPr>
              <w:t>акцизний податок (14021900;14031900;14040000;19090100)</w:t>
            </w:r>
            <w:r>
              <w:rPr>
                <w:sz w:val="28"/>
                <w:szCs w:val="28"/>
                <w:lang w:val="ru-RU"/>
              </w:rPr>
              <w:t xml:space="preserve">                      </w:t>
            </w:r>
            <w:r>
              <w:rPr>
                <w:sz w:val="28"/>
                <w:szCs w:val="28"/>
              </w:rPr>
              <w:t xml:space="preserve">                                                             </w:t>
            </w:r>
            <w:r>
              <w:rPr>
                <w:sz w:val="28"/>
                <w:szCs w:val="28"/>
                <w:lang w:val="ru-RU"/>
              </w:rPr>
              <w:t xml:space="preserve"> </w:t>
            </w:r>
          </w:p>
        </w:tc>
        <w:tc>
          <w:tcPr>
            <w:tcW w:w="3285" w:type="dxa"/>
            <w:tcBorders>
              <w:top w:val="single" w:sz="4" w:space="0" w:color="auto"/>
              <w:left w:val="single" w:sz="4" w:space="0" w:color="auto"/>
              <w:bottom w:val="single" w:sz="4" w:space="0" w:color="auto"/>
              <w:right w:val="single" w:sz="4" w:space="0" w:color="auto"/>
            </w:tcBorders>
            <w:vAlign w:val="center"/>
            <w:hideMark/>
          </w:tcPr>
          <w:p w:rsidR="003162EE" w:rsidRDefault="003162EE">
            <w:pPr>
              <w:tabs>
                <w:tab w:val="left" w:pos="2895"/>
                <w:tab w:val="left" w:pos="5655"/>
                <w:tab w:val="left" w:pos="8460"/>
              </w:tabs>
              <w:jc w:val="center"/>
              <w:rPr>
                <w:sz w:val="28"/>
                <w:szCs w:val="28"/>
              </w:rPr>
            </w:pPr>
            <w:r>
              <w:rPr>
                <w:sz w:val="28"/>
                <w:szCs w:val="28"/>
                <w:lang w:val="ru-RU"/>
              </w:rPr>
              <w:t>109 763,0</w:t>
            </w:r>
          </w:p>
        </w:tc>
        <w:tc>
          <w:tcPr>
            <w:tcW w:w="3285" w:type="dxa"/>
            <w:tcBorders>
              <w:top w:val="single" w:sz="4" w:space="0" w:color="auto"/>
              <w:left w:val="single" w:sz="4" w:space="0" w:color="auto"/>
              <w:bottom w:val="single" w:sz="4" w:space="0" w:color="auto"/>
              <w:right w:val="single" w:sz="4" w:space="0" w:color="auto"/>
            </w:tcBorders>
            <w:vAlign w:val="center"/>
          </w:tcPr>
          <w:p w:rsidR="003162EE" w:rsidRDefault="003162EE">
            <w:pPr>
              <w:tabs>
                <w:tab w:val="left" w:pos="0"/>
                <w:tab w:val="left" w:pos="6804"/>
                <w:tab w:val="left" w:pos="7088"/>
                <w:tab w:val="left" w:pos="7230"/>
                <w:tab w:val="left" w:pos="7513"/>
                <w:tab w:val="left" w:pos="8647"/>
                <w:tab w:val="left" w:pos="9072"/>
              </w:tabs>
              <w:jc w:val="center"/>
              <w:rPr>
                <w:sz w:val="28"/>
                <w:szCs w:val="28"/>
              </w:rPr>
            </w:pPr>
            <w:r>
              <w:rPr>
                <w:sz w:val="28"/>
                <w:szCs w:val="28"/>
              </w:rPr>
              <w:t>10,1</w:t>
            </w:r>
          </w:p>
          <w:p w:rsidR="003162EE" w:rsidRDefault="003162EE">
            <w:pPr>
              <w:tabs>
                <w:tab w:val="left" w:pos="2895"/>
                <w:tab w:val="left" w:pos="5655"/>
                <w:tab w:val="left" w:pos="8460"/>
              </w:tabs>
              <w:jc w:val="center"/>
              <w:rPr>
                <w:sz w:val="28"/>
                <w:szCs w:val="28"/>
              </w:rPr>
            </w:pPr>
          </w:p>
        </w:tc>
      </w:tr>
      <w:tr w:rsidR="003162EE" w:rsidTr="003162EE">
        <w:tc>
          <w:tcPr>
            <w:tcW w:w="3285" w:type="dxa"/>
            <w:tcBorders>
              <w:top w:val="single" w:sz="4" w:space="0" w:color="auto"/>
              <w:left w:val="single" w:sz="4" w:space="0" w:color="auto"/>
              <w:bottom w:val="single" w:sz="4" w:space="0" w:color="auto"/>
              <w:right w:val="single" w:sz="4" w:space="0" w:color="auto"/>
            </w:tcBorders>
            <w:hideMark/>
          </w:tcPr>
          <w:p w:rsidR="003162EE" w:rsidRDefault="003162EE">
            <w:pPr>
              <w:tabs>
                <w:tab w:val="left" w:pos="2895"/>
                <w:tab w:val="left" w:pos="5655"/>
                <w:tab w:val="left" w:pos="8460"/>
              </w:tabs>
              <w:jc w:val="both"/>
              <w:rPr>
                <w:sz w:val="28"/>
                <w:szCs w:val="28"/>
              </w:rPr>
            </w:pPr>
            <w:r>
              <w:rPr>
                <w:sz w:val="28"/>
                <w:szCs w:val="28"/>
              </w:rPr>
              <w:t>єдиний податок  (18050000)</w:t>
            </w:r>
            <w:r>
              <w:rPr>
                <w:sz w:val="28"/>
                <w:szCs w:val="28"/>
                <w:lang w:val="ru-RU"/>
              </w:rPr>
              <w:t xml:space="preserve">                                               </w:t>
            </w:r>
          </w:p>
        </w:tc>
        <w:tc>
          <w:tcPr>
            <w:tcW w:w="3285" w:type="dxa"/>
            <w:tcBorders>
              <w:top w:val="single" w:sz="4" w:space="0" w:color="auto"/>
              <w:left w:val="single" w:sz="4" w:space="0" w:color="auto"/>
              <w:bottom w:val="single" w:sz="4" w:space="0" w:color="auto"/>
              <w:right w:val="single" w:sz="4" w:space="0" w:color="auto"/>
            </w:tcBorders>
            <w:vAlign w:val="center"/>
            <w:hideMark/>
          </w:tcPr>
          <w:p w:rsidR="003162EE" w:rsidRDefault="003162EE">
            <w:pPr>
              <w:tabs>
                <w:tab w:val="left" w:pos="2895"/>
                <w:tab w:val="left" w:pos="5655"/>
                <w:tab w:val="left" w:pos="8460"/>
              </w:tabs>
              <w:jc w:val="center"/>
              <w:rPr>
                <w:sz w:val="28"/>
                <w:szCs w:val="28"/>
              </w:rPr>
            </w:pPr>
            <w:r>
              <w:rPr>
                <w:sz w:val="28"/>
                <w:szCs w:val="28"/>
                <w:lang w:val="ru-RU"/>
              </w:rPr>
              <w:t>89 144,2</w:t>
            </w:r>
          </w:p>
        </w:tc>
        <w:tc>
          <w:tcPr>
            <w:tcW w:w="3285" w:type="dxa"/>
            <w:tcBorders>
              <w:top w:val="single" w:sz="4" w:space="0" w:color="auto"/>
              <w:left w:val="single" w:sz="4" w:space="0" w:color="auto"/>
              <w:bottom w:val="single" w:sz="4" w:space="0" w:color="auto"/>
              <w:right w:val="single" w:sz="4" w:space="0" w:color="auto"/>
            </w:tcBorders>
            <w:vAlign w:val="center"/>
          </w:tcPr>
          <w:p w:rsidR="003162EE" w:rsidRDefault="003162EE">
            <w:pPr>
              <w:tabs>
                <w:tab w:val="left" w:pos="0"/>
              </w:tabs>
              <w:jc w:val="center"/>
              <w:rPr>
                <w:sz w:val="28"/>
                <w:szCs w:val="28"/>
              </w:rPr>
            </w:pPr>
            <w:r>
              <w:rPr>
                <w:sz w:val="28"/>
                <w:szCs w:val="28"/>
              </w:rPr>
              <w:t>8,2</w:t>
            </w:r>
          </w:p>
          <w:p w:rsidR="003162EE" w:rsidRDefault="003162EE">
            <w:pPr>
              <w:tabs>
                <w:tab w:val="left" w:pos="2895"/>
                <w:tab w:val="left" w:pos="5655"/>
                <w:tab w:val="left" w:pos="8460"/>
              </w:tabs>
              <w:jc w:val="center"/>
              <w:rPr>
                <w:sz w:val="28"/>
                <w:szCs w:val="28"/>
              </w:rPr>
            </w:pPr>
          </w:p>
        </w:tc>
      </w:tr>
      <w:tr w:rsidR="003162EE" w:rsidTr="003162EE">
        <w:tc>
          <w:tcPr>
            <w:tcW w:w="3285" w:type="dxa"/>
            <w:tcBorders>
              <w:top w:val="single" w:sz="4" w:space="0" w:color="auto"/>
              <w:left w:val="single" w:sz="4" w:space="0" w:color="auto"/>
              <w:bottom w:val="single" w:sz="4" w:space="0" w:color="auto"/>
              <w:right w:val="single" w:sz="4" w:space="0" w:color="auto"/>
            </w:tcBorders>
            <w:hideMark/>
          </w:tcPr>
          <w:p w:rsidR="003162EE" w:rsidRDefault="003162EE">
            <w:pPr>
              <w:tabs>
                <w:tab w:val="left" w:pos="2895"/>
                <w:tab w:val="left" w:pos="5655"/>
                <w:tab w:val="left" w:pos="8460"/>
              </w:tabs>
              <w:jc w:val="both"/>
              <w:rPr>
                <w:sz w:val="28"/>
                <w:szCs w:val="28"/>
              </w:rPr>
            </w:pPr>
            <w:r>
              <w:rPr>
                <w:b/>
                <w:bCs/>
                <w:iCs/>
                <w:sz w:val="28"/>
                <w:szCs w:val="28"/>
              </w:rPr>
              <w:t>Разом</w:t>
            </w:r>
            <w:r>
              <w:rPr>
                <w:b/>
                <w:bCs/>
                <w:iCs/>
                <w:sz w:val="28"/>
                <w:szCs w:val="28"/>
                <w:lang w:val="ru-RU"/>
              </w:rPr>
              <w:t xml:space="preserve">                                                                          </w:t>
            </w:r>
          </w:p>
        </w:tc>
        <w:tc>
          <w:tcPr>
            <w:tcW w:w="3285" w:type="dxa"/>
            <w:tcBorders>
              <w:top w:val="single" w:sz="4" w:space="0" w:color="auto"/>
              <w:left w:val="single" w:sz="4" w:space="0" w:color="auto"/>
              <w:bottom w:val="single" w:sz="4" w:space="0" w:color="auto"/>
              <w:right w:val="single" w:sz="4" w:space="0" w:color="auto"/>
            </w:tcBorders>
            <w:vAlign w:val="center"/>
            <w:hideMark/>
          </w:tcPr>
          <w:p w:rsidR="003162EE" w:rsidRDefault="003162EE">
            <w:pPr>
              <w:tabs>
                <w:tab w:val="left" w:pos="2895"/>
                <w:tab w:val="left" w:pos="5655"/>
                <w:tab w:val="left" w:pos="8460"/>
              </w:tabs>
              <w:jc w:val="center"/>
              <w:rPr>
                <w:sz w:val="28"/>
                <w:szCs w:val="28"/>
              </w:rPr>
            </w:pPr>
            <w:r>
              <w:rPr>
                <w:b/>
                <w:bCs/>
                <w:iCs/>
                <w:sz w:val="28"/>
                <w:szCs w:val="28"/>
              </w:rPr>
              <w:t>1 044 440,0</w:t>
            </w:r>
          </w:p>
        </w:tc>
        <w:tc>
          <w:tcPr>
            <w:tcW w:w="3285" w:type="dxa"/>
            <w:tcBorders>
              <w:top w:val="single" w:sz="4" w:space="0" w:color="auto"/>
              <w:left w:val="single" w:sz="4" w:space="0" w:color="auto"/>
              <w:bottom w:val="single" w:sz="4" w:space="0" w:color="auto"/>
              <w:right w:val="single" w:sz="4" w:space="0" w:color="auto"/>
            </w:tcBorders>
            <w:vAlign w:val="center"/>
            <w:hideMark/>
          </w:tcPr>
          <w:p w:rsidR="003162EE" w:rsidRDefault="003162EE">
            <w:pPr>
              <w:tabs>
                <w:tab w:val="left" w:pos="2895"/>
                <w:tab w:val="left" w:pos="5655"/>
                <w:tab w:val="left" w:pos="8460"/>
              </w:tabs>
              <w:jc w:val="center"/>
              <w:rPr>
                <w:sz w:val="28"/>
                <w:szCs w:val="28"/>
              </w:rPr>
            </w:pPr>
            <w:r>
              <w:rPr>
                <w:b/>
                <w:bCs/>
                <w:iCs/>
                <w:sz w:val="28"/>
                <w:szCs w:val="28"/>
              </w:rPr>
              <w:t>96,1</w:t>
            </w:r>
          </w:p>
        </w:tc>
      </w:tr>
    </w:tbl>
    <w:p w:rsidR="003162EE" w:rsidRDefault="003162EE" w:rsidP="003162EE">
      <w:pPr>
        <w:tabs>
          <w:tab w:val="left" w:pos="2895"/>
          <w:tab w:val="left" w:pos="5655"/>
          <w:tab w:val="left" w:pos="8460"/>
        </w:tabs>
        <w:ind w:firstLine="709"/>
        <w:jc w:val="both"/>
        <w:rPr>
          <w:sz w:val="28"/>
          <w:szCs w:val="28"/>
        </w:rPr>
      </w:pPr>
    </w:p>
    <w:p w:rsidR="003162EE" w:rsidRDefault="003162EE" w:rsidP="003162EE">
      <w:pPr>
        <w:ind w:firstLine="709"/>
        <w:jc w:val="both"/>
        <w:rPr>
          <w:sz w:val="28"/>
          <w:szCs w:val="28"/>
        </w:rPr>
      </w:pPr>
      <w:r>
        <w:rPr>
          <w:sz w:val="28"/>
          <w:szCs w:val="28"/>
        </w:rPr>
        <w:t xml:space="preserve">Питома вага фактичних податкових надходжень в доходній частині загального фонду міського бюджету склала 96,9 %, або 1 052 848,2 тис. грн., неподаткових –  3,1%, або 33 797,2  </w:t>
      </w:r>
      <w:proofErr w:type="spellStart"/>
      <w:r>
        <w:rPr>
          <w:sz w:val="28"/>
          <w:szCs w:val="28"/>
        </w:rPr>
        <w:t>тис.грн</w:t>
      </w:r>
      <w:proofErr w:type="spellEnd"/>
      <w:r>
        <w:rPr>
          <w:sz w:val="28"/>
          <w:szCs w:val="28"/>
        </w:rPr>
        <w:t>.</w:t>
      </w:r>
    </w:p>
    <w:p w:rsidR="003162EE" w:rsidRDefault="003162EE" w:rsidP="003162EE">
      <w:pPr>
        <w:ind w:firstLine="709"/>
        <w:jc w:val="both"/>
        <w:rPr>
          <w:sz w:val="28"/>
          <w:szCs w:val="28"/>
        </w:rPr>
      </w:pPr>
      <w:r>
        <w:rPr>
          <w:sz w:val="28"/>
          <w:szCs w:val="28"/>
        </w:rPr>
        <w:t>За 2017 рік  виконання уточненого плану по  податкових надходженнях  забезпечено  на 101,7  %, неподаткових  - на 103,7%.</w:t>
      </w:r>
    </w:p>
    <w:p w:rsidR="003162EE" w:rsidRDefault="003162EE" w:rsidP="003162EE">
      <w:pPr>
        <w:ind w:firstLine="709"/>
        <w:jc w:val="both"/>
        <w:rPr>
          <w:sz w:val="28"/>
          <w:szCs w:val="28"/>
        </w:rPr>
      </w:pPr>
      <w:r>
        <w:rPr>
          <w:sz w:val="28"/>
          <w:szCs w:val="28"/>
        </w:rPr>
        <w:lastRenderedPageBreak/>
        <w:t xml:space="preserve">Станом на 01.01.2018  фактично вилучено  коштів до державного бюджету (реверсна дотація) 41 659,3 </w:t>
      </w:r>
      <w:proofErr w:type="spellStart"/>
      <w:r>
        <w:rPr>
          <w:sz w:val="28"/>
          <w:szCs w:val="28"/>
        </w:rPr>
        <w:t>тис.грн</w:t>
      </w:r>
      <w:proofErr w:type="spellEnd"/>
      <w:r>
        <w:rPr>
          <w:sz w:val="28"/>
          <w:szCs w:val="28"/>
        </w:rPr>
        <w:t>.  при  такому ж плані.</w:t>
      </w:r>
    </w:p>
    <w:p w:rsidR="003162EE" w:rsidRDefault="003162EE" w:rsidP="003162EE">
      <w:pPr>
        <w:ind w:firstLine="709"/>
        <w:jc w:val="both"/>
        <w:rPr>
          <w:sz w:val="28"/>
          <w:szCs w:val="28"/>
        </w:rPr>
      </w:pPr>
    </w:p>
    <w:p w:rsidR="003162EE" w:rsidRDefault="003162EE" w:rsidP="003162EE">
      <w:pPr>
        <w:ind w:firstLine="709"/>
        <w:jc w:val="both"/>
        <w:rPr>
          <w:sz w:val="28"/>
          <w:szCs w:val="28"/>
        </w:rPr>
      </w:pPr>
      <w:r>
        <w:rPr>
          <w:sz w:val="28"/>
          <w:szCs w:val="28"/>
        </w:rPr>
        <w:t xml:space="preserve">Перевиконання уточнених  планових показників по основних джерелах доходів відбулося: </w:t>
      </w:r>
    </w:p>
    <w:p w:rsidR="003162EE" w:rsidRDefault="003162EE" w:rsidP="003162EE">
      <w:pPr>
        <w:numPr>
          <w:ilvl w:val="0"/>
          <w:numId w:val="1"/>
        </w:numPr>
        <w:tabs>
          <w:tab w:val="left" w:pos="993"/>
        </w:tabs>
        <w:ind w:left="0" w:firstLine="720"/>
        <w:contextualSpacing/>
        <w:jc w:val="both"/>
        <w:rPr>
          <w:spacing w:val="1"/>
          <w:sz w:val="28"/>
          <w:szCs w:val="28"/>
        </w:rPr>
      </w:pPr>
      <w:r>
        <w:rPr>
          <w:spacing w:val="1"/>
          <w:sz w:val="28"/>
          <w:szCs w:val="28"/>
        </w:rPr>
        <w:t xml:space="preserve">податку на доходи фізичних осіб – 101,9% при  уточненому                          плані 669 553,6 </w:t>
      </w:r>
      <w:proofErr w:type="spellStart"/>
      <w:r>
        <w:rPr>
          <w:spacing w:val="1"/>
          <w:sz w:val="28"/>
          <w:szCs w:val="28"/>
        </w:rPr>
        <w:t>тис.грн</w:t>
      </w:r>
      <w:proofErr w:type="spellEnd"/>
      <w:r>
        <w:rPr>
          <w:spacing w:val="1"/>
          <w:sz w:val="28"/>
          <w:szCs w:val="28"/>
        </w:rPr>
        <w:t xml:space="preserve">. фактично надійшло 681 953,8 </w:t>
      </w:r>
      <w:proofErr w:type="spellStart"/>
      <w:r>
        <w:rPr>
          <w:spacing w:val="1"/>
          <w:sz w:val="28"/>
          <w:szCs w:val="28"/>
        </w:rPr>
        <w:t>тис.грн</w:t>
      </w:r>
      <w:proofErr w:type="spellEnd"/>
      <w:r>
        <w:rPr>
          <w:spacing w:val="1"/>
          <w:sz w:val="28"/>
          <w:szCs w:val="28"/>
        </w:rPr>
        <w:t xml:space="preserve">.                                   /+/ 12 400,2 </w:t>
      </w:r>
      <w:proofErr w:type="spellStart"/>
      <w:r>
        <w:rPr>
          <w:spacing w:val="1"/>
          <w:sz w:val="28"/>
          <w:szCs w:val="28"/>
        </w:rPr>
        <w:t>тис.грн</w:t>
      </w:r>
      <w:proofErr w:type="spellEnd"/>
      <w:r>
        <w:rPr>
          <w:spacing w:val="1"/>
          <w:sz w:val="28"/>
          <w:szCs w:val="28"/>
        </w:rPr>
        <w:t>.;</w:t>
      </w:r>
    </w:p>
    <w:p w:rsidR="003162EE" w:rsidRDefault="003162EE" w:rsidP="003162EE">
      <w:pPr>
        <w:numPr>
          <w:ilvl w:val="0"/>
          <w:numId w:val="1"/>
        </w:numPr>
        <w:tabs>
          <w:tab w:val="left" w:pos="993"/>
        </w:tabs>
        <w:ind w:left="0" w:firstLine="720"/>
        <w:contextualSpacing/>
        <w:jc w:val="both"/>
        <w:rPr>
          <w:spacing w:val="1"/>
          <w:sz w:val="28"/>
          <w:szCs w:val="28"/>
        </w:rPr>
      </w:pPr>
      <w:r>
        <w:rPr>
          <w:spacing w:val="1"/>
          <w:sz w:val="28"/>
          <w:szCs w:val="28"/>
        </w:rPr>
        <w:t>податку на майно в частині  земельного податку – 101,0%</w:t>
      </w:r>
      <w:r>
        <w:rPr>
          <w:sz w:val="28"/>
          <w:szCs w:val="28"/>
        </w:rPr>
        <w:t xml:space="preserve"> </w:t>
      </w:r>
      <w:r>
        <w:rPr>
          <w:spacing w:val="1"/>
          <w:sz w:val="28"/>
          <w:szCs w:val="28"/>
        </w:rPr>
        <w:t xml:space="preserve">при                        уточненому плані 161 900,0 </w:t>
      </w:r>
      <w:proofErr w:type="spellStart"/>
      <w:r>
        <w:rPr>
          <w:spacing w:val="1"/>
          <w:sz w:val="28"/>
          <w:szCs w:val="28"/>
        </w:rPr>
        <w:t>тис.грн</w:t>
      </w:r>
      <w:proofErr w:type="spellEnd"/>
      <w:r>
        <w:rPr>
          <w:spacing w:val="1"/>
          <w:sz w:val="28"/>
          <w:szCs w:val="28"/>
        </w:rPr>
        <w:t xml:space="preserve">. фактично надійшло 163 579,0 </w:t>
      </w:r>
      <w:proofErr w:type="spellStart"/>
      <w:r>
        <w:rPr>
          <w:spacing w:val="1"/>
          <w:sz w:val="28"/>
          <w:szCs w:val="28"/>
        </w:rPr>
        <w:t>тис.грн</w:t>
      </w:r>
      <w:proofErr w:type="spellEnd"/>
      <w:r>
        <w:rPr>
          <w:spacing w:val="1"/>
          <w:sz w:val="28"/>
          <w:szCs w:val="28"/>
        </w:rPr>
        <w:t xml:space="preserve">. /+/ 1 679,0 </w:t>
      </w:r>
      <w:proofErr w:type="spellStart"/>
      <w:r>
        <w:rPr>
          <w:spacing w:val="1"/>
          <w:sz w:val="28"/>
          <w:szCs w:val="28"/>
        </w:rPr>
        <w:t>тис.грн</w:t>
      </w:r>
      <w:proofErr w:type="spellEnd"/>
      <w:r>
        <w:rPr>
          <w:spacing w:val="1"/>
          <w:sz w:val="28"/>
          <w:szCs w:val="28"/>
        </w:rPr>
        <w:t>.;</w:t>
      </w:r>
      <w:r>
        <w:rPr>
          <w:sz w:val="28"/>
          <w:szCs w:val="28"/>
        </w:rPr>
        <w:t xml:space="preserve"> </w:t>
      </w:r>
    </w:p>
    <w:p w:rsidR="003162EE" w:rsidRDefault="003162EE" w:rsidP="003162EE">
      <w:pPr>
        <w:numPr>
          <w:ilvl w:val="0"/>
          <w:numId w:val="1"/>
        </w:numPr>
        <w:tabs>
          <w:tab w:val="left" w:pos="993"/>
        </w:tabs>
        <w:ind w:left="0" w:firstLine="720"/>
        <w:contextualSpacing/>
        <w:jc w:val="both"/>
        <w:rPr>
          <w:spacing w:val="1"/>
          <w:sz w:val="28"/>
          <w:szCs w:val="28"/>
        </w:rPr>
      </w:pPr>
      <w:r>
        <w:rPr>
          <w:spacing w:val="1"/>
          <w:sz w:val="28"/>
          <w:szCs w:val="28"/>
        </w:rPr>
        <w:t xml:space="preserve">єдиному податку –102,1%  при уточненому плані 87 300,0 </w:t>
      </w:r>
      <w:proofErr w:type="spellStart"/>
      <w:r>
        <w:rPr>
          <w:spacing w:val="1"/>
          <w:sz w:val="28"/>
          <w:szCs w:val="28"/>
        </w:rPr>
        <w:t>тис.грн</w:t>
      </w:r>
      <w:proofErr w:type="spellEnd"/>
      <w:r>
        <w:rPr>
          <w:spacing w:val="1"/>
          <w:sz w:val="28"/>
          <w:szCs w:val="28"/>
        </w:rPr>
        <w:t xml:space="preserve">. фактично надійшло  89 144,2 </w:t>
      </w:r>
      <w:proofErr w:type="spellStart"/>
      <w:r>
        <w:rPr>
          <w:spacing w:val="1"/>
          <w:sz w:val="28"/>
          <w:szCs w:val="28"/>
        </w:rPr>
        <w:t>тис.грн</w:t>
      </w:r>
      <w:proofErr w:type="spellEnd"/>
      <w:r>
        <w:rPr>
          <w:spacing w:val="1"/>
          <w:sz w:val="28"/>
          <w:szCs w:val="28"/>
        </w:rPr>
        <w:t xml:space="preserve">. /+/ 1 844,2  </w:t>
      </w:r>
      <w:proofErr w:type="spellStart"/>
      <w:r>
        <w:rPr>
          <w:spacing w:val="1"/>
          <w:sz w:val="28"/>
          <w:szCs w:val="28"/>
        </w:rPr>
        <w:t>тис.грн</w:t>
      </w:r>
      <w:proofErr w:type="spellEnd"/>
      <w:r>
        <w:rPr>
          <w:spacing w:val="1"/>
          <w:sz w:val="28"/>
          <w:szCs w:val="28"/>
        </w:rPr>
        <w:t xml:space="preserve">.; </w:t>
      </w:r>
    </w:p>
    <w:p w:rsidR="003162EE" w:rsidRDefault="003162EE" w:rsidP="003162EE">
      <w:pPr>
        <w:numPr>
          <w:ilvl w:val="0"/>
          <w:numId w:val="1"/>
        </w:numPr>
        <w:tabs>
          <w:tab w:val="left" w:pos="993"/>
        </w:tabs>
        <w:ind w:left="0" w:firstLine="720"/>
        <w:contextualSpacing/>
        <w:jc w:val="both"/>
        <w:rPr>
          <w:spacing w:val="1"/>
          <w:sz w:val="28"/>
          <w:szCs w:val="28"/>
        </w:rPr>
      </w:pPr>
      <w:r>
        <w:rPr>
          <w:spacing w:val="1"/>
          <w:sz w:val="28"/>
          <w:szCs w:val="28"/>
        </w:rPr>
        <w:t xml:space="preserve">акцизному податку (14021900,14031900,14040000,19090100) </w:t>
      </w:r>
      <w:r>
        <w:rPr>
          <w:sz w:val="28"/>
          <w:szCs w:val="28"/>
        </w:rPr>
        <w:t xml:space="preserve">– 101,0% </w:t>
      </w:r>
      <w:r>
        <w:rPr>
          <w:spacing w:val="1"/>
          <w:sz w:val="28"/>
          <w:szCs w:val="28"/>
        </w:rPr>
        <w:t xml:space="preserve">при плані 108 700,0 </w:t>
      </w:r>
      <w:proofErr w:type="spellStart"/>
      <w:r>
        <w:rPr>
          <w:spacing w:val="1"/>
          <w:sz w:val="28"/>
          <w:szCs w:val="28"/>
        </w:rPr>
        <w:t>тис.грн</w:t>
      </w:r>
      <w:proofErr w:type="spellEnd"/>
      <w:r>
        <w:rPr>
          <w:spacing w:val="1"/>
          <w:sz w:val="28"/>
          <w:szCs w:val="28"/>
        </w:rPr>
        <w:t xml:space="preserve">. фактично надійшло 109 763,0 </w:t>
      </w:r>
      <w:proofErr w:type="spellStart"/>
      <w:r>
        <w:rPr>
          <w:spacing w:val="1"/>
          <w:sz w:val="28"/>
          <w:szCs w:val="28"/>
        </w:rPr>
        <w:t>тис.грн</w:t>
      </w:r>
      <w:proofErr w:type="spellEnd"/>
      <w:r>
        <w:rPr>
          <w:spacing w:val="1"/>
          <w:sz w:val="28"/>
          <w:szCs w:val="28"/>
        </w:rPr>
        <w:t xml:space="preserve">.                        /+/ 1 063,0 </w:t>
      </w:r>
      <w:proofErr w:type="spellStart"/>
      <w:r>
        <w:rPr>
          <w:spacing w:val="1"/>
          <w:sz w:val="28"/>
          <w:szCs w:val="28"/>
        </w:rPr>
        <w:t>тис.грн</w:t>
      </w:r>
      <w:proofErr w:type="spellEnd"/>
      <w:r>
        <w:rPr>
          <w:spacing w:val="1"/>
          <w:sz w:val="28"/>
          <w:szCs w:val="28"/>
        </w:rPr>
        <w:t>.</w:t>
      </w:r>
    </w:p>
    <w:p w:rsidR="003162EE" w:rsidRDefault="003162EE" w:rsidP="003162EE">
      <w:pPr>
        <w:tabs>
          <w:tab w:val="left" w:pos="2895"/>
          <w:tab w:val="left" w:pos="5655"/>
          <w:tab w:val="left" w:pos="8460"/>
        </w:tabs>
        <w:ind w:firstLine="709"/>
        <w:jc w:val="both"/>
        <w:rPr>
          <w:sz w:val="28"/>
          <w:szCs w:val="28"/>
        </w:rPr>
      </w:pPr>
      <w:r>
        <w:rPr>
          <w:sz w:val="28"/>
          <w:szCs w:val="28"/>
        </w:rPr>
        <w:t>Постановою Кабінету Міністрів України від 20 вересня 2017 р. № 726 «Про внесення змін до  постанови Кабінету Міністрів України від 8 лютого 2017 р. № 96 «Деякі питання зарахування частини акцизного податку з виробленого в Україні та ввезеного на митну територію України пального до бюджетів місцевого самоврядування»» визначено,</w:t>
      </w:r>
      <w:r>
        <w:t xml:space="preserve"> </w:t>
      </w:r>
      <w:r>
        <w:rPr>
          <w:sz w:val="28"/>
          <w:szCs w:val="28"/>
        </w:rPr>
        <w:t>що м. Кременчук, відповідно</w:t>
      </w:r>
      <w:r>
        <w:t xml:space="preserve"> </w:t>
      </w:r>
      <w:r>
        <w:rPr>
          <w:sz w:val="28"/>
          <w:szCs w:val="28"/>
        </w:rPr>
        <w:t xml:space="preserve">до нарахувань за даними декларацій сум акцизного податку з реалізації суб’єктами господарювання роздрібної торгівлі пального за 2016 рік, має отримати в 2017 році суму в обсязі 61 228,6 </w:t>
      </w:r>
      <w:proofErr w:type="spellStart"/>
      <w:r>
        <w:rPr>
          <w:sz w:val="28"/>
          <w:szCs w:val="28"/>
        </w:rPr>
        <w:t>тис.грн</w:t>
      </w:r>
      <w:proofErr w:type="spellEnd"/>
      <w:r>
        <w:rPr>
          <w:sz w:val="28"/>
          <w:szCs w:val="28"/>
        </w:rPr>
        <w:t xml:space="preserve">. (фактично отримано за нормативом надходжень – 59 114,8 </w:t>
      </w:r>
      <w:proofErr w:type="spellStart"/>
      <w:r>
        <w:rPr>
          <w:sz w:val="28"/>
          <w:szCs w:val="28"/>
        </w:rPr>
        <w:t>тис.грн</w:t>
      </w:r>
      <w:proofErr w:type="spellEnd"/>
      <w:r>
        <w:rPr>
          <w:sz w:val="28"/>
          <w:szCs w:val="28"/>
        </w:rPr>
        <w:t xml:space="preserve">.). </w:t>
      </w:r>
    </w:p>
    <w:p w:rsidR="003162EE" w:rsidRDefault="003162EE" w:rsidP="003162EE">
      <w:pPr>
        <w:tabs>
          <w:tab w:val="left" w:pos="2895"/>
          <w:tab w:val="left" w:pos="5655"/>
          <w:tab w:val="left" w:pos="8460"/>
        </w:tabs>
        <w:ind w:firstLine="709"/>
        <w:jc w:val="both"/>
        <w:rPr>
          <w:sz w:val="28"/>
          <w:szCs w:val="28"/>
        </w:rPr>
      </w:pPr>
      <w:r>
        <w:rPr>
          <w:sz w:val="28"/>
          <w:szCs w:val="28"/>
        </w:rPr>
        <w:t>В разі недонадходження акцизного податку з виробленого в Україні та ввезеного на митну територію України пального, згідно з встановленим щоденним нормативом зарахування до місцевих бюджетів, компенсація із загального фонду державного бюджету бюджетам місцевого самоврядування здійснюється УДКСУ протягом останнього робочого (банківського) дня грудня 2017 року шляхом перерахування суми, що підлягає компенсації, відповідно до формули.</w:t>
      </w:r>
    </w:p>
    <w:p w:rsidR="003162EE" w:rsidRDefault="003162EE" w:rsidP="003162EE">
      <w:pPr>
        <w:tabs>
          <w:tab w:val="left" w:pos="2895"/>
          <w:tab w:val="left" w:pos="5655"/>
          <w:tab w:val="left" w:pos="8460"/>
        </w:tabs>
        <w:ind w:firstLine="709"/>
        <w:jc w:val="both"/>
        <w:rPr>
          <w:sz w:val="28"/>
          <w:szCs w:val="28"/>
        </w:rPr>
      </w:pPr>
      <w:r>
        <w:rPr>
          <w:sz w:val="28"/>
          <w:szCs w:val="28"/>
        </w:rPr>
        <w:t xml:space="preserve">Таким чином, УДКСУ було відкрито розрахунковий рахунок по КДБ 19090100 «Кошти, що передаються (отримуються), як компенсація із загального фонду державного бюджету бюджетам місцевого самоврядування відповідно до вимог пункту 43 розділу VI "Прикінцеві та перехідні положення" Бюджетного кодексу України та постанови Кабінету Міністрів України від 08.02.2017 N 96 «Деякі питання зарахування частини акцизного податку з виробленого в Україні та ввезеного на митну територію України пального до бюджетів місцевого самоврядування»», на який 29.12.2017 було зараховано недоотриману суму коштів - 2 113,8 </w:t>
      </w:r>
      <w:proofErr w:type="spellStart"/>
      <w:r>
        <w:rPr>
          <w:sz w:val="28"/>
          <w:szCs w:val="28"/>
        </w:rPr>
        <w:t>тис.грн</w:t>
      </w:r>
      <w:proofErr w:type="spellEnd"/>
      <w:r>
        <w:rPr>
          <w:sz w:val="28"/>
          <w:szCs w:val="28"/>
        </w:rPr>
        <w:t>.</w:t>
      </w:r>
    </w:p>
    <w:p w:rsidR="003162EE" w:rsidRDefault="003162EE" w:rsidP="003162EE">
      <w:pPr>
        <w:tabs>
          <w:tab w:val="left" w:pos="2895"/>
          <w:tab w:val="left" w:pos="5655"/>
          <w:tab w:val="left" w:pos="8460"/>
        </w:tabs>
        <w:ind w:firstLine="709"/>
        <w:jc w:val="both"/>
        <w:rPr>
          <w:sz w:val="28"/>
          <w:szCs w:val="28"/>
        </w:rPr>
      </w:pPr>
    </w:p>
    <w:p w:rsidR="003162EE" w:rsidRDefault="003162EE" w:rsidP="003162EE">
      <w:pPr>
        <w:tabs>
          <w:tab w:val="left" w:pos="709"/>
        </w:tabs>
        <w:ind w:firstLine="709"/>
        <w:jc w:val="both"/>
        <w:rPr>
          <w:sz w:val="28"/>
          <w:szCs w:val="28"/>
        </w:rPr>
      </w:pPr>
      <w:r>
        <w:rPr>
          <w:sz w:val="28"/>
          <w:szCs w:val="28"/>
        </w:rPr>
        <w:t xml:space="preserve">В  порівнянні з 2016 роком  надходження до загального фонду зросли на 33,0% або /+/ 269 381,2 </w:t>
      </w:r>
      <w:proofErr w:type="spellStart"/>
      <w:r>
        <w:rPr>
          <w:sz w:val="28"/>
          <w:szCs w:val="28"/>
        </w:rPr>
        <w:t>тис.грн</w:t>
      </w:r>
      <w:proofErr w:type="spellEnd"/>
      <w:r>
        <w:rPr>
          <w:sz w:val="28"/>
          <w:szCs w:val="28"/>
        </w:rPr>
        <w:t>., в тому числі по джерелах доходів:</w:t>
      </w:r>
    </w:p>
    <w:p w:rsidR="003162EE" w:rsidRDefault="003162EE" w:rsidP="003162EE">
      <w:pPr>
        <w:ind w:firstLine="709"/>
        <w:jc w:val="both"/>
        <w:rPr>
          <w:sz w:val="28"/>
          <w:szCs w:val="28"/>
        </w:rPr>
      </w:pPr>
      <w:proofErr w:type="spellStart"/>
      <w:r>
        <w:rPr>
          <w:b/>
          <w:sz w:val="28"/>
          <w:szCs w:val="28"/>
        </w:rPr>
        <w:t>пдфо</w:t>
      </w:r>
      <w:proofErr w:type="spellEnd"/>
      <w:r>
        <w:rPr>
          <w:sz w:val="28"/>
          <w:szCs w:val="28"/>
        </w:rPr>
        <w:t xml:space="preserve"> на 44,7% або  /+/ 210 653,2 </w:t>
      </w:r>
      <w:proofErr w:type="spellStart"/>
      <w:r>
        <w:rPr>
          <w:sz w:val="28"/>
          <w:szCs w:val="28"/>
        </w:rPr>
        <w:t>тис.грн</w:t>
      </w:r>
      <w:proofErr w:type="spellEnd"/>
      <w:r>
        <w:rPr>
          <w:sz w:val="28"/>
          <w:szCs w:val="28"/>
        </w:rPr>
        <w:t xml:space="preserve">., що в основному пов’язано із збільшенням  розміру мінімальної заробітної плати до рівня 3200 грн., </w:t>
      </w:r>
      <w:r>
        <w:rPr>
          <w:sz w:val="28"/>
          <w:szCs w:val="28"/>
        </w:rPr>
        <w:lastRenderedPageBreak/>
        <w:t>зростанням фонду оплати праці на підприємствах міста, а також зростанням заробітної плати працівників бюджетної сфери на 30% - 50%;</w:t>
      </w:r>
    </w:p>
    <w:p w:rsidR="003162EE" w:rsidRDefault="003162EE" w:rsidP="003162EE">
      <w:pPr>
        <w:ind w:firstLine="709"/>
        <w:jc w:val="both"/>
        <w:rPr>
          <w:sz w:val="28"/>
          <w:szCs w:val="28"/>
        </w:rPr>
      </w:pPr>
      <w:r>
        <w:rPr>
          <w:sz w:val="28"/>
          <w:szCs w:val="28"/>
        </w:rPr>
        <w:t xml:space="preserve">Значний вклад по збільшенню надходжень </w:t>
      </w:r>
      <w:r>
        <w:rPr>
          <w:b/>
          <w:sz w:val="28"/>
          <w:szCs w:val="28"/>
        </w:rPr>
        <w:t>податку на доходи фізичних осіб</w:t>
      </w:r>
      <w:r>
        <w:rPr>
          <w:sz w:val="28"/>
          <w:szCs w:val="28"/>
        </w:rPr>
        <w:t xml:space="preserve"> в 2017 році в порівнянні з 2016 роком внесли такі бюджетоутворюючі підприємства: </w:t>
      </w:r>
    </w:p>
    <w:tbl>
      <w:tblPr>
        <w:tblW w:w="9495" w:type="dxa"/>
        <w:tblInd w:w="5" w:type="dxa"/>
        <w:tblLayout w:type="fixed"/>
        <w:tblCellMar>
          <w:left w:w="0" w:type="dxa"/>
          <w:right w:w="0" w:type="dxa"/>
        </w:tblCellMar>
        <w:tblLook w:val="04A0" w:firstRow="1" w:lastRow="0" w:firstColumn="1" w:lastColumn="0" w:noHBand="0" w:noVBand="1"/>
      </w:tblPr>
      <w:tblGrid>
        <w:gridCol w:w="926"/>
        <w:gridCol w:w="4035"/>
        <w:gridCol w:w="1700"/>
        <w:gridCol w:w="1417"/>
        <w:gridCol w:w="1417"/>
      </w:tblGrid>
      <w:tr w:rsidR="003162EE" w:rsidTr="003162EE">
        <w:trPr>
          <w:trHeight w:val="1102"/>
        </w:trPr>
        <w:tc>
          <w:tcPr>
            <w:tcW w:w="926" w:type="dxa"/>
            <w:tcBorders>
              <w:top w:val="single" w:sz="4" w:space="0" w:color="000001"/>
              <w:left w:val="single" w:sz="4" w:space="0" w:color="000001"/>
              <w:bottom w:val="single" w:sz="4" w:space="0" w:color="000001"/>
              <w:right w:val="single" w:sz="4" w:space="0" w:color="000001"/>
            </w:tcBorders>
            <w:vAlign w:val="center"/>
            <w:hideMark/>
          </w:tcPr>
          <w:p w:rsidR="003162EE" w:rsidRDefault="003162EE">
            <w:pPr>
              <w:autoSpaceDE w:val="0"/>
              <w:autoSpaceDN w:val="0"/>
              <w:adjustRightInd w:val="0"/>
              <w:spacing w:after="120"/>
              <w:jc w:val="center"/>
              <w:rPr>
                <w:kern w:val="2"/>
                <w:sz w:val="28"/>
                <w:szCs w:val="28"/>
              </w:rPr>
            </w:pPr>
            <w:r>
              <w:rPr>
                <w:sz w:val="28"/>
                <w:szCs w:val="28"/>
              </w:rPr>
              <w:t xml:space="preserve">                                           </w:t>
            </w:r>
            <w:r>
              <w:rPr>
                <w:color w:val="FF0000"/>
                <w:sz w:val="28"/>
                <w:szCs w:val="28"/>
              </w:rPr>
              <w:t xml:space="preserve">                                                       </w:t>
            </w:r>
            <w:r>
              <w:rPr>
                <w:kern w:val="2"/>
                <w:sz w:val="28"/>
                <w:szCs w:val="28"/>
              </w:rPr>
              <w:t>№ з/п</w:t>
            </w:r>
          </w:p>
        </w:tc>
        <w:tc>
          <w:tcPr>
            <w:tcW w:w="4035" w:type="dxa"/>
            <w:tcBorders>
              <w:top w:val="single" w:sz="4" w:space="0" w:color="000001"/>
              <w:left w:val="nil"/>
              <w:bottom w:val="single" w:sz="4" w:space="0" w:color="000001"/>
              <w:right w:val="single" w:sz="4" w:space="0" w:color="000001"/>
            </w:tcBorders>
            <w:vAlign w:val="center"/>
            <w:hideMark/>
          </w:tcPr>
          <w:p w:rsidR="003162EE" w:rsidRDefault="003162EE">
            <w:pPr>
              <w:autoSpaceDE w:val="0"/>
              <w:autoSpaceDN w:val="0"/>
              <w:adjustRightInd w:val="0"/>
              <w:spacing w:after="120"/>
              <w:ind w:firstLine="567"/>
              <w:jc w:val="center"/>
              <w:rPr>
                <w:kern w:val="2"/>
                <w:sz w:val="28"/>
                <w:szCs w:val="28"/>
              </w:rPr>
            </w:pPr>
            <w:r>
              <w:rPr>
                <w:kern w:val="2"/>
                <w:sz w:val="28"/>
                <w:szCs w:val="28"/>
              </w:rPr>
              <w:t>Назва підприємства</w:t>
            </w:r>
          </w:p>
        </w:tc>
        <w:tc>
          <w:tcPr>
            <w:tcW w:w="1700" w:type="dxa"/>
            <w:tcBorders>
              <w:top w:val="single" w:sz="4" w:space="0" w:color="000001"/>
              <w:left w:val="nil"/>
              <w:bottom w:val="single" w:sz="4" w:space="0" w:color="000001"/>
              <w:right w:val="single" w:sz="4" w:space="0" w:color="auto"/>
            </w:tcBorders>
            <w:vAlign w:val="center"/>
            <w:hideMark/>
          </w:tcPr>
          <w:p w:rsidR="003162EE" w:rsidRDefault="003162EE">
            <w:pPr>
              <w:pStyle w:val="a5"/>
              <w:jc w:val="center"/>
              <w:rPr>
                <w:sz w:val="28"/>
                <w:szCs w:val="28"/>
              </w:rPr>
            </w:pPr>
            <w:r>
              <w:rPr>
                <w:sz w:val="28"/>
                <w:szCs w:val="28"/>
              </w:rPr>
              <w:t>Сума (+/-),</w:t>
            </w:r>
          </w:p>
          <w:p w:rsidR="003162EE" w:rsidRDefault="003162EE">
            <w:pPr>
              <w:pStyle w:val="a5"/>
              <w:jc w:val="center"/>
              <w:rPr>
                <w:sz w:val="28"/>
                <w:szCs w:val="28"/>
              </w:rPr>
            </w:pPr>
            <w:r>
              <w:rPr>
                <w:sz w:val="28"/>
                <w:szCs w:val="28"/>
              </w:rPr>
              <w:t>(контингент)</w:t>
            </w:r>
          </w:p>
          <w:p w:rsidR="003162EE" w:rsidRDefault="003162EE">
            <w:pPr>
              <w:pStyle w:val="a5"/>
              <w:jc w:val="center"/>
              <w:rPr>
                <w:sz w:val="28"/>
                <w:szCs w:val="28"/>
              </w:rPr>
            </w:pPr>
            <w:proofErr w:type="spellStart"/>
            <w:r>
              <w:rPr>
                <w:sz w:val="28"/>
                <w:szCs w:val="28"/>
              </w:rPr>
              <w:t>тис.грн</w:t>
            </w:r>
            <w:proofErr w:type="spellEnd"/>
            <w:r>
              <w:rPr>
                <w:sz w:val="28"/>
                <w:szCs w:val="28"/>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3162EE" w:rsidRDefault="003162EE">
            <w:pPr>
              <w:pStyle w:val="a5"/>
              <w:jc w:val="center"/>
              <w:rPr>
                <w:sz w:val="28"/>
                <w:szCs w:val="28"/>
              </w:rPr>
            </w:pPr>
            <w:r>
              <w:rPr>
                <w:sz w:val="28"/>
                <w:szCs w:val="28"/>
              </w:rPr>
              <w:t>Сума (+/-),</w:t>
            </w:r>
          </w:p>
          <w:p w:rsidR="003162EE" w:rsidRDefault="003162EE">
            <w:pPr>
              <w:pStyle w:val="a5"/>
              <w:jc w:val="center"/>
              <w:rPr>
                <w:sz w:val="28"/>
                <w:szCs w:val="28"/>
              </w:rPr>
            </w:pPr>
            <w:r>
              <w:rPr>
                <w:sz w:val="28"/>
                <w:szCs w:val="28"/>
              </w:rPr>
              <w:t>(60%)</w:t>
            </w:r>
          </w:p>
          <w:p w:rsidR="003162EE" w:rsidRDefault="003162EE">
            <w:pPr>
              <w:pStyle w:val="a5"/>
              <w:jc w:val="center"/>
              <w:rPr>
                <w:sz w:val="28"/>
                <w:szCs w:val="28"/>
              </w:rPr>
            </w:pPr>
            <w:proofErr w:type="spellStart"/>
            <w:r>
              <w:rPr>
                <w:sz w:val="28"/>
                <w:szCs w:val="28"/>
              </w:rPr>
              <w:t>тис.грн</w:t>
            </w:r>
            <w:proofErr w:type="spellEnd"/>
            <w:r>
              <w:rPr>
                <w:sz w:val="28"/>
                <w:szCs w:val="28"/>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3162EE" w:rsidRDefault="003162EE">
            <w:pPr>
              <w:autoSpaceDE w:val="0"/>
              <w:autoSpaceDN w:val="0"/>
              <w:adjustRightInd w:val="0"/>
              <w:spacing w:after="120"/>
              <w:jc w:val="center"/>
              <w:rPr>
                <w:kern w:val="2"/>
                <w:sz w:val="28"/>
                <w:szCs w:val="28"/>
              </w:rPr>
            </w:pPr>
            <w:r>
              <w:rPr>
                <w:kern w:val="2"/>
                <w:sz w:val="28"/>
                <w:szCs w:val="28"/>
              </w:rPr>
              <w:t>%</w:t>
            </w:r>
          </w:p>
        </w:tc>
      </w:tr>
      <w:tr w:rsidR="003162EE" w:rsidTr="003162EE">
        <w:trPr>
          <w:trHeight w:val="454"/>
        </w:trPr>
        <w:tc>
          <w:tcPr>
            <w:tcW w:w="926" w:type="dxa"/>
            <w:tcBorders>
              <w:top w:val="nil"/>
              <w:left w:val="single" w:sz="4" w:space="0" w:color="000001"/>
              <w:bottom w:val="single" w:sz="4" w:space="0" w:color="000001"/>
              <w:right w:val="single" w:sz="4" w:space="0" w:color="000001"/>
            </w:tcBorders>
            <w:vAlign w:val="center"/>
            <w:hideMark/>
          </w:tcPr>
          <w:p w:rsidR="003162EE" w:rsidRDefault="003162EE">
            <w:pPr>
              <w:jc w:val="center"/>
              <w:rPr>
                <w:sz w:val="28"/>
                <w:szCs w:val="28"/>
              </w:rPr>
            </w:pPr>
            <w:r>
              <w:rPr>
                <w:sz w:val="28"/>
                <w:szCs w:val="28"/>
              </w:rPr>
              <w:t>1.</w:t>
            </w:r>
          </w:p>
        </w:tc>
        <w:tc>
          <w:tcPr>
            <w:tcW w:w="4035" w:type="dxa"/>
            <w:tcBorders>
              <w:top w:val="nil"/>
              <w:left w:val="nil"/>
              <w:bottom w:val="single" w:sz="4" w:space="0" w:color="000001"/>
              <w:right w:val="single" w:sz="4" w:space="0" w:color="000001"/>
            </w:tcBorders>
            <w:vAlign w:val="center"/>
            <w:hideMark/>
          </w:tcPr>
          <w:p w:rsidR="003162EE" w:rsidRDefault="003162EE">
            <w:pPr>
              <w:autoSpaceDE w:val="0"/>
              <w:autoSpaceDN w:val="0"/>
              <w:adjustRightInd w:val="0"/>
              <w:rPr>
                <w:kern w:val="2"/>
                <w:sz w:val="28"/>
                <w:szCs w:val="28"/>
                <w:lang w:eastAsia="zh-CN" w:bidi="hi-IN"/>
              </w:rPr>
            </w:pPr>
            <w:r>
              <w:rPr>
                <w:kern w:val="2"/>
                <w:sz w:val="28"/>
                <w:szCs w:val="28"/>
                <w:lang w:eastAsia="zh-CN" w:bidi="hi-IN"/>
              </w:rPr>
              <w:t xml:space="preserve"> ПАТ «КВБЗ»</w:t>
            </w:r>
          </w:p>
        </w:tc>
        <w:tc>
          <w:tcPr>
            <w:tcW w:w="1700" w:type="dxa"/>
            <w:tcBorders>
              <w:top w:val="nil"/>
              <w:left w:val="nil"/>
              <w:bottom w:val="single" w:sz="4" w:space="0" w:color="000001"/>
              <w:right w:val="single" w:sz="4" w:space="0" w:color="auto"/>
            </w:tcBorders>
            <w:vAlign w:val="center"/>
            <w:hideMark/>
          </w:tcPr>
          <w:p w:rsidR="003162EE" w:rsidRDefault="003162EE">
            <w:pPr>
              <w:jc w:val="center"/>
              <w:rPr>
                <w:sz w:val="28"/>
                <w:szCs w:val="28"/>
              </w:rPr>
            </w:pPr>
            <w:r>
              <w:rPr>
                <w:sz w:val="28"/>
                <w:szCs w:val="28"/>
              </w:rPr>
              <w:t>33 467,2</w:t>
            </w:r>
          </w:p>
        </w:tc>
        <w:tc>
          <w:tcPr>
            <w:tcW w:w="1417" w:type="dxa"/>
            <w:tcBorders>
              <w:top w:val="single" w:sz="4" w:space="0" w:color="auto"/>
              <w:left w:val="single" w:sz="4" w:space="0" w:color="auto"/>
              <w:bottom w:val="single" w:sz="4" w:space="0" w:color="auto"/>
              <w:right w:val="single" w:sz="4" w:space="0" w:color="auto"/>
            </w:tcBorders>
            <w:vAlign w:val="center"/>
            <w:hideMark/>
          </w:tcPr>
          <w:p w:rsidR="003162EE" w:rsidRDefault="003162EE">
            <w:pPr>
              <w:jc w:val="center"/>
              <w:rPr>
                <w:sz w:val="28"/>
                <w:szCs w:val="28"/>
              </w:rPr>
            </w:pPr>
            <w:r>
              <w:rPr>
                <w:sz w:val="28"/>
                <w:szCs w:val="28"/>
              </w:rPr>
              <w:t>20 080,3</w:t>
            </w:r>
          </w:p>
        </w:tc>
        <w:tc>
          <w:tcPr>
            <w:tcW w:w="1417" w:type="dxa"/>
            <w:tcBorders>
              <w:top w:val="single" w:sz="4" w:space="0" w:color="auto"/>
              <w:left w:val="single" w:sz="4" w:space="0" w:color="auto"/>
              <w:bottom w:val="single" w:sz="4" w:space="0" w:color="auto"/>
              <w:right w:val="single" w:sz="4" w:space="0" w:color="auto"/>
            </w:tcBorders>
            <w:vAlign w:val="center"/>
            <w:hideMark/>
          </w:tcPr>
          <w:p w:rsidR="003162EE" w:rsidRDefault="003162EE">
            <w:pPr>
              <w:jc w:val="center"/>
              <w:rPr>
                <w:sz w:val="28"/>
                <w:szCs w:val="28"/>
              </w:rPr>
            </w:pPr>
            <w:r>
              <w:rPr>
                <w:sz w:val="28"/>
                <w:szCs w:val="28"/>
              </w:rPr>
              <w:t>1,6 р.</w:t>
            </w:r>
          </w:p>
        </w:tc>
      </w:tr>
      <w:tr w:rsidR="003162EE" w:rsidTr="003162EE">
        <w:trPr>
          <w:trHeight w:val="454"/>
        </w:trPr>
        <w:tc>
          <w:tcPr>
            <w:tcW w:w="926" w:type="dxa"/>
            <w:tcBorders>
              <w:top w:val="nil"/>
              <w:left w:val="single" w:sz="4" w:space="0" w:color="000001"/>
              <w:bottom w:val="single" w:sz="4" w:space="0" w:color="000001"/>
              <w:right w:val="single" w:sz="4" w:space="0" w:color="000001"/>
            </w:tcBorders>
            <w:vAlign w:val="center"/>
            <w:hideMark/>
          </w:tcPr>
          <w:p w:rsidR="003162EE" w:rsidRDefault="003162EE">
            <w:pPr>
              <w:jc w:val="center"/>
              <w:rPr>
                <w:sz w:val="28"/>
                <w:szCs w:val="28"/>
              </w:rPr>
            </w:pPr>
            <w:r>
              <w:rPr>
                <w:sz w:val="28"/>
                <w:szCs w:val="28"/>
              </w:rPr>
              <w:t>2.</w:t>
            </w:r>
          </w:p>
        </w:tc>
        <w:tc>
          <w:tcPr>
            <w:tcW w:w="4035" w:type="dxa"/>
            <w:tcBorders>
              <w:top w:val="nil"/>
              <w:left w:val="nil"/>
              <w:bottom w:val="single" w:sz="4" w:space="0" w:color="000001"/>
              <w:right w:val="single" w:sz="4" w:space="0" w:color="000001"/>
            </w:tcBorders>
            <w:vAlign w:val="center"/>
            <w:hideMark/>
          </w:tcPr>
          <w:p w:rsidR="003162EE" w:rsidRDefault="003162EE">
            <w:pPr>
              <w:rPr>
                <w:sz w:val="28"/>
                <w:szCs w:val="28"/>
              </w:rPr>
            </w:pPr>
            <w:r>
              <w:rPr>
                <w:sz w:val="28"/>
                <w:szCs w:val="28"/>
              </w:rPr>
              <w:t xml:space="preserve"> ПАТ «КСЗ»</w:t>
            </w:r>
          </w:p>
        </w:tc>
        <w:tc>
          <w:tcPr>
            <w:tcW w:w="1700" w:type="dxa"/>
            <w:tcBorders>
              <w:top w:val="nil"/>
              <w:left w:val="nil"/>
              <w:bottom w:val="single" w:sz="4" w:space="0" w:color="000001"/>
              <w:right w:val="single" w:sz="4" w:space="0" w:color="auto"/>
            </w:tcBorders>
            <w:vAlign w:val="center"/>
            <w:hideMark/>
          </w:tcPr>
          <w:p w:rsidR="003162EE" w:rsidRDefault="003162EE">
            <w:pPr>
              <w:jc w:val="center"/>
              <w:rPr>
                <w:sz w:val="28"/>
                <w:szCs w:val="28"/>
              </w:rPr>
            </w:pPr>
            <w:r>
              <w:rPr>
                <w:sz w:val="28"/>
                <w:szCs w:val="28"/>
              </w:rPr>
              <w:t>24 400,1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3162EE" w:rsidRDefault="003162EE">
            <w:pPr>
              <w:jc w:val="center"/>
              <w:rPr>
                <w:sz w:val="28"/>
                <w:szCs w:val="28"/>
              </w:rPr>
            </w:pPr>
            <w:r>
              <w:rPr>
                <w:sz w:val="28"/>
                <w:szCs w:val="28"/>
              </w:rPr>
              <w:t>14 640,1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3162EE" w:rsidRDefault="003162EE">
            <w:pPr>
              <w:jc w:val="center"/>
              <w:rPr>
                <w:sz w:val="28"/>
                <w:szCs w:val="28"/>
              </w:rPr>
            </w:pPr>
            <w:r>
              <w:rPr>
                <w:sz w:val="28"/>
                <w:szCs w:val="28"/>
              </w:rPr>
              <w:t>4,0 р.</w:t>
            </w:r>
          </w:p>
        </w:tc>
      </w:tr>
      <w:tr w:rsidR="003162EE" w:rsidTr="003162EE">
        <w:trPr>
          <w:trHeight w:val="454"/>
        </w:trPr>
        <w:tc>
          <w:tcPr>
            <w:tcW w:w="926" w:type="dxa"/>
            <w:tcBorders>
              <w:top w:val="nil"/>
              <w:left w:val="single" w:sz="4" w:space="0" w:color="000001"/>
              <w:bottom w:val="single" w:sz="4" w:space="0" w:color="000001"/>
              <w:right w:val="single" w:sz="4" w:space="0" w:color="000001"/>
            </w:tcBorders>
            <w:vAlign w:val="center"/>
            <w:hideMark/>
          </w:tcPr>
          <w:p w:rsidR="003162EE" w:rsidRDefault="003162EE">
            <w:pPr>
              <w:jc w:val="center"/>
              <w:rPr>
                <w:sz w:val="28"/>
                <w:szCs w:val="28"/>
              </w:rPr>
            </w:pPr>
            <w:r>
              <w:rPr>
                <w:sz w:val="28"/>
                <w:szCs w:val="28"/>
              </w:rPr>
              <w:t>3.</w:t>
            </w:r>
          </w:p>
        </w:tc>
        <w:tc>
          <w:tcPr>
            <w:tcW w:w="4035" w:type="dxa"/>
            <w:tcBorders>
              <w:top w:val="nil"/>
              <w:left w:val="nil"/>
              <w:bottom w:val="single" w:sz="4" w:space="0" w:color="000001"/>
              <w:right w:val="single" w:sz="4" w:space="0" w:color="000001"/>
            </w:tcBorders>
            <w:vAlign w:val="center"/>
            <w:hideMark/>
          </w:tcPr>
          <w:p w:rsidR="003162EE" w:rsidRDefault="003162EE">
            <w:pPr>
              <w:rPr>
                <w:sz w:val="28"/>
                <w:szCs w:val="28"/>
              </w:rPr>
            </w:pPr>
            <w:r>
              <w:rPr>
                <w:sz w:val="28"/>
                <w:szCs w:val="28"/>
              </w:rPr>
              <w:t xml:space="preserve"> ПАТ «Укртатнафта»</w:t>
            </w:r>
          </w:p>
        </w:tc>
        <w:tc>
          <w:tcPr>
            <w:tcW w:w="1700" w:type="dxa"/>
            <w:tcBorders>
              <w:top w:val="nil"/>
              <w:left w:val="nil"/>
              <w:bottom w:val="single" w:sz="4" w:space="0" w:color="000001"/>
              <w:right w:val="single" w:sz="4" w:space="0" w:color="auto"/>
            </w:tcBorders>
            <w:vAlign w:val="center"/>
            <w:hideMark/>
          </w:tcPr>
          <w:p w:rsidR="003162EE" w:rsidRDefault="003162EE">
            <w:pPr>
              <w:jc w:val="center"/>
              <w:rPr>
                <w:sz w:val="28"/>
                <w:szCs w:val="28"/>
              </w:rPr>
            </w:pPr>
            <w:r>
              <w:rPr>
                <w:sz w:val="28"/>
                <w:szCs w:val="28"/>
              </w:rPr>
              <w:t>16 639,8</w:t>
            </w:r>
          </w:p>
        </w:tc>
        <w:tc>
          <w:tcPr>
            <w:tcW w:w="1417" w:type="dxa"/>
            <w:tcBorders>
              <w:top w:val="single" w:sz="4" w:space="0" w:color="auto"/>
              <w:left w:val="single" w:sz="4" w:space="0" w:color="auto"/>
              <w:bottom w:val="single" w:sz="4" w:space="0" w:color="auto"/>
              <w:right w:val="single" w:sz="4" w:space="0" w:color="auto"/>
            </w:tcBorders>
            <w:vAlign w:val="center"/>
            <w:hideMark/>
          </w:tcPr>
          <w:p w:rsidR="003162EE" w:rsidRDefault="003162EE">
            <w:pPr>
              <w:jc w:val="center"/>
              <w:rPr>
                <w:sz w:val="28"/>
                <w:szCs w:val="28"/>
              </w:rPr>
            </w:pPr>
            <w:r>
              <w:rPr>
                <w:sz w:val="28"/>
                <w:szCs w:val="28"/>
              </w:rPr>
              <w:t>9 983,9</w:t>
            </w:r>
          </w:p>
        </w:tc>
        <w:tc>
          <w:tcPr>
            <w:tcW w:w="1417" w:type="dxa"/>
            <w:tcBorders>
              <w:top w:val="single" w:sz="4" w:space="0" w:color="auto"/>
              <w:left w:val="single" w:sz="4" w:space="0" w:color="auto"/>
              <w:bottom w:val="single" w:sz="4" w:space="0" w:color="auto"/>
              <w:right w:val="single" w:sz="4" w:space="0" w:color="auto"/>
            </w:tcBorders>
            <w:vAlign w:val="center"/>
            <w:hideMark/>
          </w:tcPr>
          <w:p w:rsidR="003162EE" w:rsidRDefault="003162EE">
            <w:pPr>
              <w:jc w:val="center"/>
              <w:rPr>
                <w:sz w:val="28"/>
                <w:szCs w:val="28"/>
              </w:rPr>
            </w:pPr>
            <w:r>
              <w:rPr>
                <w:sz w:val="28"/>
                <w:szCs w:val="28"/>
              </w:rPr>
              <w:t>19,1</w:t>
            </w:r>
          </w:p>
        </w:tc>
      </w:tr>
      <w:tr w:rsidR="003162EE" w:rsidTr="003162EE">
        <w:trPr>
          <w:trHeight w:val="454"/>
        </w:trPr>
        <w:tc>
          <w:tcPr>
            <w:tcW w:w="926" w:type="dxa"/>
            <w:tcBorders>
              <w:top w:val="nil"/>
              <w:left w:val="single" w:sz="4" w:space="0" w:color="000001"/>
              <w:bottom w:val="single" w:sz="4" w:space="0" w:color="000001"/>
              <w:right w:val="single" w:sz="4" w:space="0" w:color="000001"/>
            </w:tcBorders>
            <w:vAlign w:val="center"/>
            <w:hideMark/>
          </w:tcPr>
          <w:p w:rsidR="003162EE" w:rsidRDefault="003162EE">
            <w:pPr>
              <w:jc w:val="center"/>
              <w:rPr>
                <w:sz w:val="28"/>
                <w:szCs w:val="28"/>
              </w:rPr>
            </w:pPr>
            <w:r>
              <w:rPr>
                <w:sz w:val="28"/>
                <w:szCs w:val="28"/>
              </w:rPr>
              <w:t>4.</w:t>
            </w:r>
          </w:p>
        </w:tc>
        <w:tc>
          <w:tcPr>
            <w:tcW w:w="4035" w:type="dxa"/>
            <w:tcBorders>
              <w:top w:val="nil"/>
              <w:left w:val="nil"/>
              <w:bottom w:val="single" w:sz="4" w:space="0" w:color="000001"/>
              <w:right w:val="single" w:sz="4" w:space="0" w:color="000001"/>
            </w:tcBorders>
            <w:vAlign w:val="center"/>
            <w:hideMark/>
          </w:tcPr>
          <w:p w:rsidR="003162EE" w:rsidRDefault="003162EE">
            <w:pPr>
              <w:autoSpaceDE w:val="0"/>
              <w:autoSpaceDN w:val="0"/>
              <w:adjustRightInd w:val="0"/>
              <w:rPr>
                <w:kern w:val="2"/>
                <w:sz w:val="28"/>
                <w:szCs w:val="28"/>
                <w:lang w:eastAsia="zh-CN" w:bidi="hi-IN"/>
              </w:rPr>
            </w:pPr>
            <w:r>
              <w:rPr>
                <w:kern w:val="2"/>
                <w:sz w:val="28"/>
                <w:szCs w:val="28"/>
                <w:lang w:eastAsia="zh-CN" w:bidi="hi-IN"/>
              </w:rPr>
              <w:t xml:space="preserve"> ПрАТ «</w:t>
            </w:r>
            <w:proofErr w:type="spellStart"/>
            <w:r>
              <w:rPr>
                <w:kern w:val="2"/>
                <w:sz w:val="28"/>
                <w:szCs w:val="28"/>
                <w:lang w:eastAsia="zh-CN" w:bidi="hi-IN"/>
              </w:rPr>
              <w:t>Кредмаш</w:t>
            </w:r>
            <w:proofErr w:type="spellEnd"/>
            <w:r>
              <w:rPr>
                <w:kern w:val="2"/>
                <w:sz w:val="28"/>
                <w:szCs w:val="28"/>
                <w:lang w:eastAsia="zh-CN" w:bidi="hi-IN"/>
              </w:rPr>
              <w:t>»</w:t>
            </w:r>
          </w:p>
        </w:tc>
        <w:tc>
          <w:tcPr>
            <w:tcW w:w="1700" w:type="dxa"/>
            <w:tcBorders>
              <w:top w:val="nil"/>
              <w:left w:val="nil"/>
              <w:bottom w:val="single" w:sz="4" w:space="0" w:color="000001"/>
              <w:right w:val="single" w:sz="4" w:space="0" w:color="auto"/>
            </w:tcBorders>
            <w:vAlign w:val="center"/>
            <w:hideMark/>
          </w:tcPr>
          <w:p w:rsidR="003162EE" w:rsidRDefault="003162EE">
            <w:pPr>
              <w:jc w:val="center"/>
              <w:rPr>
                <w:sz w:val="28"/>
                <w:szCs w:val="28"/>
              </w:rPr>
            </w:pPr>
            <w:r>
              <w:rPr>
                <w:sz w:val="28"/>
                <w:szCs w:val="28"/>
              </w:rPr>
              <w:t>16 349,5</w:t>
            </w:r>
          </w:p>
        </w:tc>
        <w:tc>
          <w:tcPr>
            <w:tcW w:w="1417" w:type="dxa"/>
            <w:tcBorders>
              <w:top w:val="single" w:sz="4" w:space="0" w:color="auto"/>
              <w:left w:val="single" w:sz="4" w:space="0" w:color="auto"/>
              <w:bottom w:val="single" w:sz="4" w:space="0" w:color="auto"/>
              <w:right w:val="single" w:sz="4" w:space="0" w:color="auto"/>
            </w:tcBorders>
            <w:vAlign w:val="center"/>
            <w:hideMark/>
          </w:tcPr>
          <w:p w:rsidR="003162EE" w:rsidRDefault="003162EE">
            <w:pPr>
              <w:jc w:val="center"/>
              <w:rPr>
                <w:sz w:val="28"/>
                <w:szCs w:val="28"/>
              </w:rPr>
            </w:pPr>
            <w:r>
              <w:rPr>
                <w:sz w:val="28"/>
                <w:szCs w:val="28"/>
              </w:rPr>
              <w:t>9 809,7</w:t>
            </w:r>
          </w:p>
        </w:tc>
        <w:tc>
          <w:tcPr>
            <w:tcW w:w="1417" w:type="dxa"/>
            <w:tcBorders>
              <w:top w:val="single" w:sz="4" w:space="0" w:color="auto"/>
              <w:left w:val="single" w:sz="4" w:space="0" w:color="auto"/>
              <w:bottom w:val="single" w:sz="4" w:space="0" w:color="auto"/>
              <w:right w:val="single" w:sz="4" w:space="0" w:color="auto"/>
            </w:tcBorders>
            <w:vAlign w:val="center"/>
            <w:hideMark/>
          </w:tcPr>
          <w:p w:rsidR="003162EE" w:rsidRDefault="003162EE">
            <w:pPr>
              <w:jc w:val="center"/>
              <w:rPr>
                <w:sz w:val="28"/>
                <w:szCs w:val="28"/>
              </w:rPr>
            </w:pPr>
            <w:r>
              <w:rPr>
                <w:sz w:val="28"/>
                <w:szCs w:val="28"/>
              </w:rPr>
              <w:t>1,7 р.</w:t>
            </w:r>
          </w:p>
        </w:tc>
      </w:tr>
      <w:tr w:rsidR="003162EE" w:rsidTr="003162EE">
        <w:trPr>
          <w:trHeight w:val="454"/>
        </w:trPr>
        <w:tc>
          <w:tcPr>
            <w:tcW w:w="926" w:type="dxa"/>
            <w:tcBorders>
              <w:top w:val="nil"/>
              <w:left w:val="single" w:sz="4" w:space="0" w:color="000001"/>
              <w:bottom w:val="single" w:sz="4" w:space="0" w:color="000001"/>
              <w:right w:val="single" w:sz="4" w:space="0" w:color="000001"/>
            </w:tcBorders>
            <w:vAlign w:val="center"/>
            <w:hideMark/>
          </w:tcPr>
          <w:p w:rsidR="003162EE" w:rsidRDefault="003162EE">
            <w:pPr>
              <w:jc w:val="center"/>
              <w:rPr>
                <w:sz w:val="28"/>
                <w:szCs w:val="28"/>
              </w:rPr>
            </w:pPr>
            <w:r>
              <w:rPr>
                <w:sz w:val="28"/>
                <w:szCs w:val="28"/>
              </w:rPr>
              <w:t>5.</w:t>
            </w:r>
          </w:p>
        </w:tc>
        <w:tc>
          <w:tcPr>
            <w:tcW w:w="4035" w:type="dxa"/>
            <w:tcBorders>
              <w:top w:val="nil"/>
              <w:left w:val="nil"/>
              <w:bottom w:val="single" w:sz="4" w:space="0" w:color="000001"/>
              <w:right w:val="single" w:sz="4" w:space="0" w:color="000001"/>
            </w:tcBorders>
            <w:vAlign w:val="center"/>
            <w:hideMark/>
          </w:tcPr>
          <w:p w:rsidR="003162EE" w:rsidRDefault="003162EE">
            <w:pPr>
              <w:autoSpaceDE w:val="0"/>
              <w:autoSpaceDN w:val="0"/>
              <w:adjustRightInd w:val="0"/>
              <w:ind w:left="209" w:hanging="209"/>
              <w:rPr>
                <w:kern w:val="2"/>
                <w:sz w:val="28"/>
                <w:szCs w:val="28"/>
              </w:rPr>
            </w:pPr>
            <w:r>
              <w:rPr>
                <w:sz w:val="28"/>
                <w:szCs w:val="28"/>
              </w:rPr>
              <w:t xml:space="preserve"> ПАТ «АвтоКрАЗ»</w:t>
            </w:r>
          </w:p>
        </w:tc>
        <w:tc>
          <w:tcPr>
            <w:tcW w:w="1700" w:type="dxa"/>
            <w:tcBorders>
              <w:top w:val="nil"/>
              <w:left w:val="nil"/>
              <w:bottom w:val="single" w:sz="4" w:space="0" w:color="000001"/>
              <w:right w:val="single" w:sz="4" w:space="0" w:color="auto"/>
            </w:tcBorders>
            <w:vAlign w:val="center"/>
            <w:hideMark/>
          </w:tcPr>
          <w:p w:rsidR="003162EE" w:rsidRDefault="003162EE">
            <w:pPr>
              <w:jc w:val="center"/>
              <w:rPr>
                <w:sz w:val="28"/>
                <w:szCs w:val="28"/>
              </w:rPr>
            </w:pPr>
            <w:r>
              <w:rPr>
                <w:sz w:val="28"/>
                <w:szCs w:val="28"/>
              </w:rPr>
              <w:t>8 823,6</w:t>
            </w:r>
          </w:p>
        </w:tc>
        <w:tc>
          <w:tcPr>
            <w:tcW w:w="1417" w:type="dxa"/>
            <w:tcBorders>
              <w:top w:val="single" w:sz="4" w:space="0" w:color="auto"/>
              <w:left w:val="single" w:sz="4" w:space="0" w:color="auto"/>
              <w:bottom w:val="single" w:sz="4" w:space="0" w:color="auto"/>
              <w:right w:val="single" w:sz="4" w:space="0" w:color="auto"/>
            </w:tcBorders>
            <w:vAlign w:val="center"/>
            <w:hideMark/>
          </w:tcPr>
          <w:p w:rsidR="003162EE" w:rsidRDefault="003162EE">
            <w:pPr>
              <w:jc w:val="center"/>
              <w:rPr>
                <w:sz w:val="28"/>
                <w:szCs w:val="28"/>
              </w:rPr>
            </w:pPr>
            <w:r>
              <w:rPr>
                <w:sz w:val="28"/>
                <w:szCs w:val="28"/>
              </w:rPr>
              <w:t>5 294,2</w:t>
            </w:r>
          </w:p>
        </w:tc>
        <w:tc>
          <w:tcPr>
            <w:tcW w:w="1417" w:type="dxa"/>
            <w:tcBorders>
              <w:top w:val="single" w:sz="4" w:space="0" w:color="auto"/>
              <w:left w:val="single" w:sz="4" w:space="0" w:color="auto"/>
              <w:bottom w:val="single" w:sz="4" w:space="0" w:color="auto"/>
              <w:right w:val="single" w:sz="4" w:space="0" w:color="auto"/>
            </w:tcBorders>
            <w:vAlign w:val="center"/>
            <w:hideMark/>
          </w:tcPr>
          <w:p w:rsidR="003162EE" w:rsidRDefault="003162EE">
            <w:pPr>
              <w:jc w:val="center"/>
              <w:rPr>
                <w:sz w:val="28"/>
                <w:szCs w:val="28"/>
              </w:rPr>
            </w:pPr>
            <w:r>
              <w:rPr>
                <w:sz w:val="28"/>
                <w:szCs w:val="28"/>
              </w:rPr>
              <w:t>38,5</w:t>
            </w:r>
          </w:p>
        </w:tc>
      </w:tr>
      <w:tr w:rsidR="003162EE" w:rsidTr="003162EE">
        <w:trPr>
          <w:trHeight w:val="454"/>
        </w:trPr>
        <w:tc>
          <w:tcPr>
            <w:tcW w:w="926" w:type="dxa"/>
            <w:tcBorders>
              <w:top w:val="nil"/>
              <w:left w:val="single" w:sz="4" w:space="0" w:color="000001"/>
              <w:bottom w:val="single" w:sz="4" w:space="0" w:color="000001"/>
              <w:right w:val="single" w:sz="4" w:space="0" w:color="000001"/>
            </w:tcBorders>
            <w:vAlign w:val="center"/>
            <w:hideMark/>
          </w:tcPr>
          <w:p w:rsidR="003162EE" w:rsidRDefault="003162EE">
            <w:pPr>
              <w:jc w:val="center"/>
              <w:rPr>
                <w:sz w:val="28"/>
                <w:szCs w:val="28"/>
              </w:rPr>
            </w:pPr>
            <w:r>
              <w:rPr>
                <w:sz w:val="28"/>
                <w:szCs w:val="28"/>
              </w:rPr>
              <w:t>6.</w:t>
            </w:r>
          </w:p>
        </w:tc>
        <w:tc>
          <w:tcPr>
            <w:tcW w:w="4035" w:type="dxa"/>
            <w:tcBorders>
              <w:top w:val="nil"/>
              <w:left w:val="nil"/>
              <w:bottom w:val="single" w:sz="4" w:space="0" w:color="000001"/>
              <w:right w:val="single" w:sz="4" w:space="0" w:color="000001"/>
            </w:tcBorders>
            <w:vAlign w:val="center"/>
            <w:hideMark/>
          </w:tcPr>
          <w:p w:rsidR="003162EE" w:rsidRDefault="003162EE">
            <w:pPr>
              <w:autoSpaceDE w:val="0"/>
              <w:autoSpaceDN w:val="0"/>
              <w:adjustRightInd w:val="0"/>
              <w:rPr>
                <w:kern w:val="2"/>
                <w:sz w:val="28"/>
                <w:szCs w:val="28"/>
                <w:lang w:eastAsia="zh-CN" w:bidi="hi-IN"/>
              </w:rPr>
            </w:pPr>
            <w:r>
              <w:rPr>
                <w:sz w:val="28"/>
                <w:szCs w:val="28"/>
              </w:rPr>
              <w:t xml:space="preserve"> ПАТ «Джей Ті Інтернешнл Україна»</w:t>
            </w:r>
          </w:p>
        </w:tc>
        <w:tc>
          <w:tcPr>
            <w:tcW w:w="1700" w:type="dxa"/>
            <w:tcBorders>
              <w:top w:val="nil"/>
              <w:left w:val="nil"/>
              <w:bottom w:val="single" w:sz="4" w:space="0" w:color="000001"/>
              <w:right w:val="single" w:sz="4" w:space="0" w:color="auto"/>
            </w:tcBorders>
            <w:vAlign w:val="center"/>
            <w:hideMark/>
          </w:tcPr>
          <w:p w:rsidR="003162EE" w:rsidRDefault="003162EE">
            <w:pPr>
              <w:jc w:val="center"/>
              <w:rPr>
                <w:sz w:val="28"/>
                <w:szCs w:val="28"/>
              </w:rPr>
            </w:pPr>
            <w:r>
              <w:rPr>
                <w:sz w:val="28"/>
                <w:szCs w:val="28"/>
              </w:rPr>
              <w:t>3 841,3</w:t>
            </w:r>
          </w:p>
        </w:tc>
        <w:tc>
          <w:tcPr>
            <w:tcW w:w="1417" w:type="dxa"/>
            <w:tcBorders>
              <w:top w:val="single" w:sz="4" w:space="0" w:color="auto"/>
              <w:left w:val="single" w:sz="4" w:space="0" w:color="auto"/>
              <w:bottom w:val="single" w:sz="4" w:space="0" w:color="auto"/>
              <w:right w:val="single" w:sz="4" w:space="0" w:color="auto"/>
            </w:tcBorders>
            <w:vAlign w:val="center"/>
            <w:hideMark/>
          </w:tcPr>
          <w:p w:rsidR="003162EE" w:rsidRDefault="003162EE">
            <w:pPr>
              <w:jc w:val="center"/>
              <w:rPr>
                <w:sz w:val="28"/>
                <w:szCs w:val="28"/>
              </w:rPr>
            </w:pPr>
            <w:r>
              <w:rPr>
                <w:sz w:val="28"/>
                <w:szCs w:val="28"/>
              </w:rPr>
              <w:t>2 304,8</w:t>
            </w:r>
          </w:p>
        </w:tc>
        <w:tc>
          <w:tcPr>
            <w:tcW w:w="1417" w:type="dxa"/>
            <w:tcBorders>
              <w:top w:val="single" w:sz="4" w:space="0" w:color="auto"/>
              <w:left w:val="single" w:sz="4" w:space="0" w:color="auto"/>
              <w:bottom w:val="single" w:sz="4" w:space="0" w:color="auto"/>
              <w:right w:val="single" w:sz="4" w:space="0" w:color="auto"/>
            </w:tcBorders>
            <w:vAlign w:val="center"/>
            <w:hideMark/>
          </w:tcPr>
          <w:p w:rsidR="003162EE" w:rsidRDefault="003162EE">
            <w:pPr>
              <w:jc w:val="center"/>
              <w:rPr>
                <w:sz w:val="28"/>
                <w:szCs w:val="28"/>
              </w:rPr>
            </w:pPr>
            <w:r>
              <w:rPr>
                <w:sz w:val="28"/>
                <w:szCs w:val="28"/>
              </w:rPr>
              <w:t>14,5</w:t>
            </w:r>
          </w:p>
        </w:tc>
      </w:tr>
      <w:tr w:rsidR="003162EE" w:rsidTr="003162EE">
        <w:trPr>
          <w:trHeight w:val="454"/>
        </w:trPr>
        <w:tc>
          <w:tcPr>
            <w:tcW w:w="926" w:type="dxa"/>
            <w:tcBorders>
              <w:top w:val="nil"/>
              <w:left w:val="single" w:sz="4" w:space="0" w:color="000001"/>
              <w:bottom w:val="single" w:sz="4" w:space="0" w:color="000001"/>
              <w:right w:val="single" w:sz="4" w:space="0" w:color="000001"/>
            </w:tcBorders>
            <w:vAlign w:val="center"/>
            <w:hideMark/>
          </w:tcPr>
          <w:p w:rsidR="003162EE" w:rsidRDefault="003162EE">
            <w:pPr>
              <w:jc w:val="center"/>
              <w:rPr>
                <w:sz w:val="28"/>
                <w:szCs w:val="28"/>
              </w:rPr>
            </w:pPr>
            <w:r>
              <w:rPr>
                <w:sz w:val="28"/>
                <w:szCs w:val="28"/>
              </w:rPr>
              <w:t>7.</w:t>
            </w:r>
          </w:p>
        </w:tc>
        <w:tc>
          <w:tcPr>
            <w:tcW w:w="4035" w:type="dxa"/>
            <w:tcBorders>
              <w:top w:val="nil"/>
              <w:left w:val="nil"/>
              <w:bottom w:val="single" w:sz="4" w:space="0" w:color="000001"/>
              <w:right w:val="single" w:sz="4" w:space="0" w:color="000001"/>
            </w:tcBorders>
            <w:vAlign w:val="center"/>
            <w:hideMark/>
          </w:tcPr>
          <w:p w:rsidR="003162EE" w:rsidRDefault="003162EE">
            <w:pPr>
              <w:autoSpaceDE w:val="0"/>
              <w:autoSpaceDN w:val="0"/>
              <w:adjustRightInd w:val="0"/>
              <w:rPr>
                <w:kern w:val="2"/>
                <w:sz w:val="28"/>
                <w:szCs w:val="28"/>
                <w:lang w:eastAsia="zh-CN" w:bidi="hi-IN"/>
              </w:rPr>
            </w:pPr>
            <w:r>
              <w:rPr>
                <w:sz w:val="28"/>
                <w:szCs w:val="28"/>
              </w:rPr>
              <w:t xml:space="preserve"> ПрАТ «</w:t>
            </w:r>
            <w:proofErr w:type="spellStart"/>
            <w:r>
              <w:rPr>
                <w:sz w:val="28"/>
                <w:szCs w:val="28"/>
              </w:rPr>
              <w:t>КрКЗ</w:t>
            </w:r>
            <w:proofErr w:type="spellEnd"/>
            <w:r>
              <w:rPr>
                <w:sz w:val="28"/>
                <w:szCs w:val="28"/>
              </w:rPr>
              <w:t>»</w:t>
            </w:r>
          </w:p>
        </w:tc>
        <w:tc>
          <w:tcPr>
            <w:tcW w:w="1700" w:type="dxa"/>
            <w:tcBorders>
              <w:top w:val="nil"/>
              <w:left w:val="nil"/>
              <w:bottom w:val="single" w:sz="4" w:space="0" w:color="000001"/>
              <w:right w:val="single" w:sz="4" w:space="0" w:color="auto"/>
            </w:tcBorders>
            <w:vAlign w:val="center"/>
            <w:hideMark/>
          </w:tcPr>
          <w:p w:rsidR="003162EE" w:rsidRDefault="003162EE">
            <w:pPr>
              <w:jc w:val="center"/>
              <w:rPr>
                <w:sz w:val="28"/>
                <w:szCs w:val="28"/>
              </w:rPr>
            </w:pPr>
            <w:r>
              <w:rPr>
                <w:sz w:val="28"/>
                <w:szCs w:val="28"/>
              </w:rPr>
              <w:t>3 576,2</w:t>
            </w:r>
          </w:p>
        </w:tc>
        <w:tc>
          <w:tcPr>
            <w:tcW w:w="1417" w:type="dxa"/>
            <w:tcBorders>
              <w:top w:val="single" w:sz="4" w:space="0" w:color="auto"/>
              <w:left w:val="single" w:sz="4" w:space="0" w:color="auto"/>
              <w:bottom w:val="single" w:sz="4" w:space="0" w:color="auto"/>
              <w:right w:val="single" w:sz="4" w:space="0" w:color="auto"/>
            </w:tcBorders>
            <w:vAlign w:val="center"/>
            <w:hideMark/>
          </w:tcPr>
          <w:p w:rsidR="003162EE" w:rsidRDefault="003162EE">
            <w:pPr>
              <w:jc w:val="center"/>
              <w:rPr>
                <w:sz w:val="28"/>
                <w:szCs w:val="28"/>
              </w:rPr>
            </w:pPr>
            <w:r>
              <w:rPr>
                <w:sz w:val="28"/>
                <w:szCs w:val="28"/>
              </w:rPr>
              <w:t>2 145,7</w:t>
            </w:r>
          </w:p>
        </w:tc>
        <w:tc>
          <w:tcPr>
            <w:tcW w:w="1417" w:type="dxa"/>
            <w:tcBorders>
              <w:top w:val="single" w:sz="4" w:space="0" w:color="auto"/>
              <w:left w:val="single" w:sz="4" w:space="0" w:color="auto"/>
              <w:bottom w:val="single" w:sz="4" w:space="0" w:color="auto"/>
              <w:right w:val="single" w:sz="4" w:space="0" w:color="auto"/>
            </w:tcBorders>
            <w:vAlign w:val="center"/>
            <w:hideMark/>
          </w:tcPr>
          <w:p w:rsidR="003162EE" w:rsidRDefault="003162EE">
            <w:pPr>
              <w:jc w:val="center"/>
              <w:rPr>
                <w:sz w:val="28"/>
                <w:szCs w:val="28"/>
              </w:rPr>
            </w:pPr>
            <w:r>
              <w:rPr>
                <w:sz w:val="28"/>
                <w:szCs w:val="28"/>
              </w:rPr>
              <w:t>23,7</w:t>
            </w:r>
          </w:p>
        </w:tc>
      </w:tr>
      <w:tr w:rsidR="003162EE" w:rsidTr="003162EE">
        <w:trPr>
          <w:trHeight w:val="454"/>
        </w:trPr>
        <w:tc>
          <w:tcPr>
            <w:tcW w:w="926" w:type="dxa"/>
            <w:tcBorders>
              <w:top w:val="nil"/>
              <w:left w:val="single" w:sz="4" w:space="0" w:color="000001"/>
              <w:bottom w:val="single" w:sz="4" w:space="0" w:color="000001"/>
              <w:right w:val="single" w:sz="4" w:space="0" w:color="000001"/>
            </w:tcBorders>
            <w:vAlign w:val="center"/>
            <w:hideMark/>
          </w:tcPr>
          <w:p w:rsidR="003162EE" w:rsidRDefault="003162EE">
            <w:pPr>
              <w:jc w:val="center"/>
              <w:rPr>
                <w:sz w:val="28"/>
                <w:szCs w:val="28"/>
              </w:rPr>
            </w:pPr>
            <w:r>
              <w:rPr>
                <w:sz w:val="28"/>
                <w:szCs w:val="28"/>
              </w:rPr>
              <w:t>8.</w:t>
            </w:r>
          </w:p>
        </w:tc>
        <w:tc>
          <w:tcPr>
            <w:tcW w:w="4035" w:type="dxa"/>
            <w:tcBorders>
              <w:top w:val="nil"/>
              <w:left w:val="nil"/>
              <w:bottom w:val="single" w:sz="4" w:space="0" w:color="000001"/>
              <w:right w:val="single" w:sz="4" w:space="0" w:color="000001"/>
            </w:tcBorders>
            <w:vAlign w:val="center"/>
            <w:hideMark/>
          </w:tcPr>
          <w:p w:rsidR="003162EE" w:rsidRDefault="003162EE">
            <w:pPr>
              <w:autoSpaceDE w:val="0"/>
              <w:autoSpaceDN w:val="0"/>
              <w:adjustRightInd w:val="0"/>
              <w:rPr>
                <w:kern w:val="2"/>
                <w:sz w:val="28"/>
                <w:szCs w:val="28"/>
                <w:lang w:eastAsia="zh-CN" w:bidi="hi-IN"/>
              </w:rPr>
            </w:pPr>
            <w:r>
              <w:rPr>
                <w:sz w:val="28"/>
                <w:szCs w:val="28"/>
              </w:rPr>
              <w:t xml:space="preserve"> ПрАТ ККФ «Рошен»</w:t>
            </w:r>
          </w:p>
        </w:tc>
        <w:tc>
          <w:tcPr>
            <w:tcW w:w="1700" w:type="dxa"/>
            <w:tcBorders>
              <w:top w:val="nil"/>
              <w:left w:val="nil"/>
              <w:bottom w:val="single" w:sz="4" w:space="0" w:color="000001"/>
              <w:right w:val="single" w:sz="4" w:space="0" w:color="auto"/>
            </w:tcBorders>
            <w:vAlign w:val="center"/>
            <w:hideMark/>
          </w:tcPr>
          <w:p w:rsidR="003162EE" w:rsidRDefault="003162EE">
            <w:pPr>
              <w:jc w:val="center"/>
              <w:rPr>
                <w:sz w:val="28"/>
                <w:szCs w:val="28"/>
              </w:rPr>
            </w:pPr>
            <w:r>
              <w:rPr>
                <w:sz w:val="28"/>
                <w:szCs w:val="28"/>
              </w:rPr>
              <w:t>2 856,3</w:t>
            </w:r>
          </w:p>
        </w:tc>
        <w:tc>
          <w:tcPr>
            <w:tcW w:w="1417" w:type="dxa"/>
            <w:tcBorders>
              <w:top w:val="single" w:sz="4" w:space="0" w:color="auto"/>
              <w:left w:val="single" w:sz="4" w:space="0" w:color="auto"/>
              <w:bottom w:val="single" w:sz="4" w:space="0" w:color="auto"/>
              <w:right w:val="single" w:sz="4" w:space="0" w:color="auto"/>
            </w:tcBorders>
            <w:vAlign w:val="center"/>
            <w:hideMark/>
          </w:tcPr>
          <w:p w:rsidR="003162EE" w:rsidRDefault="003162EE">
            <w:pPr>
              <w:jc w:val="center"/>
              <w:rPr>
                <w:sz w:val="28"/>
                <w:szCs w:val="28"/>
              </w:rPr>
            </w:pPr>
            <w:r>
              <w:rPr>
                <w:sz w:val="28"/>
                <w:szCs w:val="28"/>
              </w:rPr>
              <w:t>1 713,8</w:t>
            </w:r>
          </w:p>
        </w:tc>
        <w:tc>
          <w:tcPr>
            <w:tcW w:w="1417" w:type="dxa"/>
            <w:tcBorders>
              <w:top w:val="single" w:sz="4" w:space="0" w:color="auto"/>
              <w:left w:val="single" w:sz="4" w:space="0" w:color="auto"/>
              <w:bottom w:val="single" w:sz="4" w:space="0" w:color="auto"/>
              <w:right w:val="single" w:sz="4" w:space="0" w:color="auto"/>
            </w:tcBorders>
            <w:vAlign w:val="center"/>
            <w:hideMark/>
          </w:tcPr>
          <w:p w:rsidR="003162EE" w:rsidRDefault="003162EE">
            <w:pPr>
              <w:jc w:val="center"/>
              <w:rPr>
                <w:sz w:val="28"/>
                <w:szCs w:val="28"/>
              </w:rPr>
            </w:pPr>
            <w:r>
              <w:rPr>
                <w:sz w:val="28"/>
                <w:szCs w:val="28"/>
              </w:rPr>
              <w:t>21,6</w:t>
            </w:r>
          </w:p>
        </w:tc>
      </w:tr>
      <w:tr w:rsidR="003162EE" w:rsidTr="003162EE">
        <w:trPr>
          <w:trHeight w:val="454"/>
        </w:trPr>
        <w:tc>
          <w:tcPr>
            <w:tcW w:w="926" w:type="dxa"/>
            <w:tcBorders>
              <w:top w:val="nil"/>
              <w:left w:val="single" w:sz="4" w:space="0" w:color="000001"/>
              <w:bottom w:val="single" w:sz="4" w:space="0" w:color="000001"/>
              <w:right w:val="single" w:sz="4" w:space="0" w:color="000001"/>
            </w:tcBorders>
            <w:vAlign w:val="center"/>
            <w:hideMark/>
          </w:tcPr>
          <w:p w:rsidR="003162EE" w:rsidRDefault="003162EE">
            <w:pPr>
              <w:jc w:val="center"/>
              <w:rPr>
                <w:sz w:val="28"/>
                <w:szCs w:val="28"/>
              </w:rPr>
            </w:pPr>
            <w:r>
              <w:rPr>
                <w:sz w:val="28"/>
                <w:szCs w:val="28"/>
              </w:rPr>
              <w:t>9.</w:t>
            </w:r>
          </w:p>
        </w:tc>
        <w:tc>
          <w:tcPr>
            <w:tcW w:w="4035" w:type="dxa"/>
            <w:tcBorders>
              <w:top w:val="nil"/>
              <w:left w:val="nil"/>
              <w:bottom w:val="single" w:sz="4" w:space="0" w:color="000001"/>
              <w:right w:val="single" w:sz="4" w:space="0" w:color="000001"/>
            </w:tcBorders>
            <w:vAlign w:val="center"/>
            <w:hideMark/>
          </w:tcPr>
          <w:p w:rsidR="003162EE" w:rsidRDefault="003162EE">
            <w:pPr>
              <w:autoSpaceDE w:val="0"/>
              <w:autoSpaceDN w:val="0"/>
              <w:adjustRightInd w:val="0"/>
              <w:rPr>
                <w:kern w:val="2"/>
                <w:sz w:val="28"/>
                <w:szCs w:val="28"/>
                <w:lang w:eastAsia="zh-CN" w:bidi="hi-IN"/>
              </w:rPr>
            </w:pPr>
            <w:r>
              <w:rPr>
                <w:sz w:val="28"/>
                <w:szCs w:val="28"/>
              </w:rPr>
              <w:t xml:space="preserve"> ПрАТ «КЗТВ2</w:t>
            </w:r>
          </w:p>
        </w:tc>
        <w:tc>
          <w:tcPr>
            <w:tcW w:w="1700" w:type="dxa"/>
            <w:tcBorders>
              <w:top w:val="nil"/>
              <w:left w:val="nil"/>
              <w:bottom w:val="single" w:sz="4" w:space="0" w:color="000001"/>
              <w:right w:val="single" w:sz="4" w:space="0" w:color="auto"/>
            </w:tcBorders>
            <w:vAlign w:val="center"/>
            <w:hideMark/>
          </w:tcPr>
          <w:p w:rsidR="003162EE" w:rsidRDefault="003162EE">
            <w:pPr>
              <w:jc w:val="center"/>
              <w:rPr>
                <w:sz w:val="28"/>
                <w:szCs w:val="28"/>
              </w:rPr>
            </w:pPr>
            <w:r>
              <w:rPr>
                <w:sz w:val="28"/>
                <w:szCs w:val="28"/>
              </w:rPr>
              <w:t>2 441,2</w:t>
            </w:r>
          </w:p>
        </w:tc>
        <w:tc>
          <w:tcPr>
            <w:tcW w:w="1417" w:type="dxa"/>
            <w:tcBorders>
              <w:top w:val="single" w:sz="4" w:space="0" w:color="auto"/>
              <w:left w:val="single" w:sz="4" w:space="0" w:color="auto"/>
              <w:bottom w:val="single" w:sz="4" w:space="0" w:color="auto"/>
              <w:right w:val="single" w:sz="4" w:space="0" w:color="auto"/>
            </w:tcBorders>
            <w:vAlign w:val="center"/>
            <w:hideMark/>
          </w:tcPr>
          <w:p w:rsidR="003162EE" w:rsidRDefault="003162EE">
            <w:pPr>
              <w:jc w:val="center"/>
              <w:rPr>
                <w:sz w:val="28"/>
                <w:szCs w:val="28"/>
              </w:rPr>
            </w:pPr>
            <w:r>
              <w:rPr>
                <w:sz w:val="28"/>
                <w:szCs w:val="28"/>
              </w:rPr>
              <w:t>1 464,7</w:t>
            </w:r>
          </w:p>
        </w:tc>
        <w:tc>
          <w:tcPr>
            <w:tcW w:w="1417" w:type="dxa"/>
            <w:tcBorders>
              <w:top w:val="single" w:sz="4" w:space="0" w:color="auto"/>
              <w:left w:val="single" w:sz="4" w:space="0" w:color="auto"/>
              <w:bottom w:val="single" w:sz="4" w:space="0" w:color="auto"/>
              <w:right w:val="single" w:sz="4" w:space="0" w:color="auto"/>
            </w:tcBorders>
            <w:vAlign w:val="center"/>
            <w:hideMark/>
          </w:tcPr>
          <w:p w:rsidR="003162EE" w:rsidRDefault="003162EE">
            <w:pPr>
              <w:jc w:val="center"/>
              <w:rPr>
                <w:sz w:val="28"/>
                <w:szCs w:val="28"/>
              </w:rPr>
            </w:pPr>
            <w:r>
              <w:rPr>
                <w:sz w:val="28"/>
                <w:szCs w:val="28"/>
              </w:rPr>
              <w:t>22,7</w:t>
            </w:r>
          </w:p>
        </w:tc>
      </w:tr>
    </w:tbl>
    <w:p w:rsidR="003162EE" w:rsidRDefault="003162EE" w:rsidP="003162EE">
      <w:pPr>
        <w:ind w:firstLine="709"/>
        <w:jc w:val="both"/>
        <w:rPr>
          <w:sz w:val="28"/>
          <w:szCs w:val="28"/>
        </w:rPr>
      </w:pPr>
      <w:r>
        <w:rPr>
          <w:b/>
          <w:sz w:val="28"/>
          <w:szCs w:val="28"/>
        </w:rPr>
        <w:t>єдиному податку</w:t>
      </w:r>
      <w:r>
        <w:rPr>
          <w:sz w:val="28"/>
          <w:szCs w:val="28"/>
        </w:rPr>
        <w:t xml:space="preserve"> на 34,7% /+/ 22 952,2 </w:t>
      </w:r>
      <w:proofErr w:type="spellStart"/>
      <w:r>
        <w:rPr>
          <w:sz w:val="28"/>
          <w:szCs w:val="28"/>
        </w:rPr>
        <w:t>тис.грн</w:t>
      </w:r>
      <w:proofErr w:type="spellEnd"/>
      <w:r>
        <w:rPr>
          <w:sz w:val="28"/>
          <w:szCs w:val="28"/>
        </w:rPr>
        <w:t>. На збільшення надходжень єдиного податку фізичними особами вплинуло: збільшення кількості платників  єдиного податку, зростання цін на товари, послуги та зростанням обсягів оподатковуваного доходу платників, сплата донарахованих сум за результатами документальних позапланових перевірок;</w:t>
      </w:r>
    </w:p>
    <w:p w:rsidR="003162EE" w:rsidRDefault="003162EE" w:rsidP="003162EE">
      <w:pPr>
        <w:ind w:firstLine="709"/>
        <w:jc w:val="both"/>
        <w:rPr>
          <w:sz w:val="28"/>
          <w:szCs w:val="28"/>
        </w:rPr>
      </w:pPr>
      <w:r>
        <w:rPr>
          <w:b/>
          <w:sz w:val="28"/>
          <w:szCs w:val="28"/>
        </w:rPr>
        <w:t>податку на майно в частині  земельного податку</w:t>
      </w:r>
      <w:r>
        <w:rPr>
          <w:sz w:val="28"/>
          <w:szCs w:val="28"/>
        </w:rPr>
        <w:t xml:space="preserve">  на 17,8 % або            /+/ 24 737,7 </w:t>
      </w:r>
      <w:proofErr w:type="spellStart"/>
      <w:r>
        <w:rPr>
          <w:sz w:val="28"/>
          <w:szCs w:val="28"/>
        </w:rPr>
        <w:t>тис.грн</w:t>
      </w:r>
      <w:proofErr w:type="spellEnd"/>
      <w:r>
        <w:rPr>
          <w:sz w:val="28"/>
          <w:szCs w:val="28"/>
        </w:rPr>
        <w:t>., зростання надходжень в основному пов’язане з індексацією нормативної грошової оцінки земель  за 2016 рік на коефіцієнт – 1,06;</w:t>
      </w:r>
    </w:p>
    <w:p w:rsidR="003162EE" w:rsidRDefault="003162EE" w:rsidP="003162EE">
      <w:pPr>
        <w:ind w:firstLine="709"/>
        <w:jc w:val="both"/>
        <w:rPr>
          <w:sz w:val="28"/>
          <w:szCs w:val="28"/>
        </w:rPr>
      </w:pPr>
      <w:r>
        <w:rPr>
          <w:b/>
          <w:sz w:val="28"/>
          <w:szCs w:val="28"/>
        </w:rPr>
        <w:t xml:space="preserve">акцизному податку </w:t>
      </w:r>
      <w:r>
        <w:rPr>
          <w:sz w:val="28"/>
          <w:szCs w:val="28"/>
        </w:rPr>
        <w:t xml:space="preserve">на 7,6% або /+/7 732,1 </w:t>
      </w:r>
      <w:proofErr w:type="spellStart"/>
      <w:r>
        <w:rPr>
          <w:sz w:val="28"/>
          <w:szCs w:val="28"/>
        </w:rPr>
        <w:t>тис.грн</w:t>
      </w:r>
      <w:proofErr w:type="spellEnd"/>
      <w:r>
        <w:rPr>
          <w:sz w:val="28"/>
          <w:szCs w:val="28"/>
        </w:rPr>
        <w:t>., що пов’язано із зростанням акцизних ставок на пиво, лікеро-горілчані вироби, вина, сигарети, пальне і відповідно  збільшення їх вартості та надходжень до бюджету;</w:t>
      </w:r>
    </w:p>
    <w:p w:rsidR="003162EE" w:rsidRDefault="003162EE" w:rsidP="003162EE">
      <w:pPr>
        <w:ind w:firstLine="709"/>
        <w:jc w:val="both"/>
        <w:rPr>
          <w:sz w:val="28"/>
          <w:szCs w:val="28"/>
        </w:rPr>
      </w:pPr>
      <w:r>
        <w:rPr>
          <w:b/>
          <w:sz w:val="28"/>
          <w:szCs w:val="28"/>
        </w:rPr>
        <w:t>податку на нерухоме майно, відмінне від земельної ділянки</w:t>
      </w:r>
      <w:r>
        <w:rPr>
          <w:sz w:val="28"/>
          <w:szCs w:val="28"/>
        </w:rPr>
        <w:t xml:space="preserve"> в 1,5 р.           /+/ 1 957,0 </w:t>
      </w:r>
      <w:proofErr w:type="spellStart"/>
      <w:r>
        <w:rPr>
          <w:sz w:val="28"/>
          <w:szCs w:val="28"/>
        </w:rPr>
        <w:t>тис.грн</w:t>
      </w:r>
      <w:proofErr w:type="spellEnd"/>
      <w:r>
        <w:rPr>
          <w:sz w:val="28"/>
          <w:szCs w:val="28"/>
        </w:rPr>
        <w:t>.;</w:t>
      </w:r>
    </w:p>
    <w:p w:rsidR="003162EE" w:rsidRDefault="003162EE" w:rsidP="003162EE">
      <w:pPr>
        <w:ind w:firstLine="709"/>
        <w:jc w:val="both"/>
        <w:rPr>
          <w:spacing w:val="1"/>
          <w:sz w:val="28"/>
          <w:szCs w:val="28"/>
        </w:rPr>
      </w:pPr>
      <w:r>
        <w:rPr>
          <w:b/>
          <w:spacing w:val="1"/>
          <w:sz w:val="28"/>
          <w:szCs w:val="28"/>
        </w:rPr>
        <w:t>по платі за надання інших адміністративних послуг</w:t>
      </w:r>
      <w:r>
        <w:rPr>
          <w:spacing w:val="1"/>
          <w:sz w:val="28"/>
          <w:szCs w:val="28"/>
        </w:rPr>
        <w:t xml:space="preserve"> (22012500)               /+/ 6 126,0 </w:t>
      </w:r>
      <w:proofErr w:type="spellStart"/>
      <w:r>
        <w:rPr>
          <w:spacing w:val="1"/>
          <w:sz w:val="28"/>
          <w:szCs w:val="28"/>
        </w:rPr>
        <w:t>тис.грн</w:t>
      </w:r>
      <w:proofErr w:type="spellEnd"/>
      <w:r>
        <w:rPr>
          <w:spacing w:val="1"/>
          <w:sz w:val="28"/>
          <w:szCs w:val="28"/>
        </w:rPr>
        <w:t xml:space="preserve">. або в 2,2 рази, що пояснюється  зарахуванням до міського бюджету плати за оформлення паспортів, в </w:t>
      </w:r>
      <w:proofErr w:type="spellStart"/>
      <w:r>
        <w:rPr>
          <w:spacing w:val="1"/>
          <w:sz w:val="28"/>
          <w:szCs w:val="28"/>
        </w:rPr>
        <w:t>т.ч</w:t>
      </w:r>
      <w:proofErr w:type="spellEnd"/>
      <w:r>
        <w:rPr>
          <w:spacing w:val="1"/>
          <w:sz w:val="28"/>
          <w:szCs w:val="28"/>
        </w:rPr>
        <w:t>. замість втрачених або викрадених, обмін документів, що підтверджують громадянство України, посвідчують особу та її статус(зміни в законодавстві), що стягується Управлінням міграційної служби України, та  яка почала надходити до міського бюджету з лютого місяця 2017 року (70%).</w:t>
      </w:r>
    </w:p>
    <w:p w:rsidR="003162EE" w:rsidRDefault="003162EE" w:rsidP="003162EE">
      <w:pPr>
        <w:ind w:firstLine="709"/>
        <w:jc w:val="both"/>
        <w:rPr>
          <w:spacing w:val="1"/>
          <w:sz w:val="28"/>
          <w:szCs w:val="28"/>
        </w:rPr>
      </w:pPr>
    </w:p>
    <w:p w:rsidR="003162EE" w:rsidRDefault="003162EE" w:rsidP="003162EE">
      <w:pPr>
        <w:ind w:firstLine="709"/>
        <w:jc w:val="both"/>
        <w:rPr>
          <w:spacing w:val="1"/>
          <w:sz w:val="28"/>
          <w:szCs w:val="28"/>
        </w:rPr>
      </w:pPr>
    </w:p>
    <w:p w:rsidR="003162EE" w:rsidRDefault="003162EE" w:rsidP="003162EE">
      <w:pPr>
        <w:ind w:firstLine="709"/>
        <w:jc w:val="both"/>
        <w:rPr>
          <w:spacing w:val="1"/>
          <w:sz w:val="28"/>
          <w:szCs w:val="28"/>
        </w:rPr>
      </w:pPr>
    </w:p>
    <w:p w:rsidR="003162EE" w:rsidRDefault="003162EE" w:rsidP="003162EE">
      <w:pPr>
        <w:ind w:firstLine="709"/>
        <w:jc w:val="both"/>
        <w:rPr>
          <w:spacing w:val="1"/>
          <w:sz w:val="28"/>
          <w:szCs w:val="28"/>
        </w:rPr>
      </w:pPr>
    </w:p>
    <w:p w:rsidR="003162EE" w:rsidRDefault="003162EE" w:rsidP="003162EE">
      <w:pPr>
        <w:ind w:firstLine="709"/>
        <w:jc w:val="both"/>
        <w:rPr>
          <w:bCs/>
          <w:iCs/>
          <w:color w:val="FF0000"/>
          <w:sz w:val="28"/>
          <w:szCs w:val="28"/>
        </w:rPr>
      </w:pPr>
      <w:r>
        <w:rPr>
          <w:bCs/>
          <w:iCs/>
          <w:sz w:val="28"/>
          <w:szCs w:val="28"/>
        </w:rPr>
        <w:lastRenderedPageBreak/>
        <w:t xml:space="preserve">                                                            </w:t>
      </w:r>
      <w:r>
        <w:rPr>
          <w:bCs/>
          <w:iCs/>
          <w:sz w:val="28"/>
          <w:szCs w:val="28"/>
        </w:rPr>
        <w:tab/>
      </w:r>
      <w:r>
        <w:rPr>
          <w:bCs/>
          <w:iCs/>
          <w:sz w:val="28"/>
          <w:szCs w:val="28"/>
        </w:rPr>
        <w:tab/>
      </w:r>
      <w:r>
        <w:rPr>
          <w:bCs/>
          <w:iCs/>
          <w:sz w:val="28"/>
          <w:szCs w:val="28"/>
        </w:rPr>
        <w:tab/>
      </w:r>
      <w:r>
        <w:rPr>
          <w:bCs/>
          <w:iCs/>
          <w:sz w:val="28"/>
          <w:szCs w:val="28"/>
        </w:rPr>
        <w:tab/>
      </w:r>
      <w:r>
        <w:rPr>
          <w:bCs/>
          <w:iCs/>
          <w:sz w:val="28"/>
          <w:szCs w:val="28"/>
        </w:rPr>
        <w:tab/>
      </w:r>
      <w:proofErr w:type="spellStart"/>
      <w:r>
        <w:rPr>
          <w:bCs/>
          <w:iCs/>
          <w:sz w:val="28"/>
          <w:szCs w:val="28"/>
        </w:rPr>
        <w:t>тис.грн</w:t>
      </w:r>
      <w:proofErr w:type="spellEnd"/>
      <w:r>
        <w:rPr>
          <w:bCs/>
          <w:iCs/>
          <w:sz w:val="28"/>
          <w:szCs w:val="28"/>
        </w:rPr>
        <w:t>.</w:t>
      </w:r>
      <w:r>
        <w:rPr>
          <w:bCs/>
          <w:iCs/>
          <w:sz w:val="28"/>
          <w:szCs w:val="28"/>
        </w:rPr>
        <w:tab/>
      </w:r>
    </w:p>
    <w:p w:rsidR="003162EE" w:rsidRDefault="003162EE" w:rsidP="003162EE">
      <w:pPr>
        <w:jc w:val="both"/>
        <w:rPr>
          <w:color w:val="FF0000"/>
          <w:sz w:val="28"/>
          <w:szCs w:val="28"/>
          <w:lang w:val="ru-RU"/>
        </w:rPr>
      </w:pPr>
      <w:r>
        <w:rPr>
          <w:noProof/>
          <w:lang w:val="ru-RU" w:eastAsia="ru-RU"/>
        </w:rPr>
        <w:drawing>
          <wp:inline distT="0" distB="0" distL="0" distR="0">
            <wp:extent cx="5803900" cy="4254500"/>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03900" cy="4254500"/>
                    </a:xfrm>
                    <a:prstGeom prst="rect">
                      <a:avLst/>
                    </a:prstGeom>
                    <a:noFill/>
                    <a:ln>
                      <a:noFill/>
                    </a:ln>
                  </pic:spPr>
                </pic:pic>
              </a:graphicData>
            </a:graphic>
          </wp:inline>
        </w:drawing>
      </w:r>
      <w:r>
        <w:rPr>
          <w:color w:val="FF0000"/>
          <w:sz w:val="28"/>
          <w:szCs w:val="28"/>
          <w:lang w:val="ru-RU"/>
        </w:rPr>
        <w:tab/>
      </w:r>
    </w:p>
    <w:p w:rsidR="003162EE" w:rsidRDefault="003162EE" w:rsidP="003162EE">
      <w:pPr>
        <w:pStyle w:val="1e1e41413d3d3e3e32323d3d3e3e3939424235353a3a41414242"/>
        <w:ind w:firstLine="567"/>
        <w:jc w:val="both"/>
        <w:rPr>
          <w:spacing w:val="1"/>
          <w:kern w:val="0"/>
          <w:sz w:val="28"/>
          <w:szCs w:val="28"/>
        </w:rPr>
      </w:pPr>
      <w:r>
        <w:rPr>
          <w:sz w:val="28"/>
          <w:szCs w:val="28"/>
        </w:rPr>
        <w:t>Станом на 01.01.2018 в</w:t>
      </w:r>
      <w:r>
        <w:rPr>
          <w:spacing w:val="1"/>
          <w:kern w:val="0"/>
          <w:sz w:val="28"/>
          <w:szCs w:val="28"/>
        </w:rPr>
        <w:t xml:space="preserve">иконання планових  показників по платі за розміщення тимчасово вільних коштів місцевих бюджетів забезпечено на 99,5% /-/54,7 </w:t>
      </w:r>
      <w:proofErr w:type="spellStart"/>
      <w:r>
        <w:rPr>
          <w:spacing w:val="1"/>
          <w:kern w:val="0"/>
          <w:sz w:val="28"/>
          <w:szCs w:val="28"/>
        </w:rPr>
        <w:t>тис.грн</w:t>
      </w:r>
      <w:proofErr w:type="spellEnd"/>
      <w:r>
        <w:rPr>
          <w:spacing w:val="1"/>
          <w:kern w:val="0"/>
          <w:sz w:val="28"/>
          <w:szCs w:val="28"/>
        </w:rPr>
        <w:t xml:space="preserve">. при затвердженому плані 12 000,0 </w:t>
      </w:r>
      <w:proofErr w:type="spellStart"/>
      <w:r>
        <w:rPr>
          <w:spacing w:val="1"/>
          <w:kern w:val="0"/>
          <w:sz w:val="28"/>
          <w:szCs w:val="28"/>
        </w:rPr>
        <w:t>тис.грн</w:t>
      </w:r>
      <w:proofErr w:type="spellEnd"/>
      <w:r>
        <w:rPr>
          <w:spacing w:val="1"/>
          <w:kern w:val="0"/>
          <w:sz w:val="28"/>
          <w:szCs w:val="28"/>
        </w:rPr>
        <w:t xml:space="preserve">. фактично надійшло 11 945,3 </w:t>
      </w:r>
      <w:proofErr w:type="spellStart"/>
      <w:r>
        <w:rPr>
          <w:spacing w:val="1"/>
          <w:kern w:val="0"/>
          <w:sz w:val="28"/>
          <w:szCs w:val="28"/>
        </w:rPr>
        <w:t>тис.грн</w:t>
      </w:r>
      <w:proofErr w:type="spellEnd"/>
      <w:r>
        <w:rPr>
          <w:spacing w:val="1"/>
          <w:kern w:val="0"/>
          <w:sz w:val="28"/>
          <w:szCs w:val="28"/>
        </w:rPr>
        <w:t xml:space="preserve">., що пояснюється достроковим зняттям 13.12.2017 з депозитного рахунку АТ «Ощадбанк» коштів, для своєчасної та повної виплати авансу працівникам бюджетних установ в сумі 10 000,0 </w:t>
      </w:r>
      <w:proofErr w:type="spellStart"/>
      <w:r>
        <w:rPr>
          <w:spacing w:val="1"/>
          <w:kern w:val="0"/>
          <w:sz w:val="28"/>
          <w:szCs w:val="28"/>
        </w:rPr>
        <w:t>тис.грн</w:t>
      </w:r>
      <w:proofErr w:type="spellEnd"/>
      <w:r>
        <w:rPr>
          <w:spacing w:val="1"/>
          <w:kern w:val="0"/>
          <w:sz w:val="28"/>
          <w:szCs w:val="28"/>
        </w:rPr>
        <w:t xml:space="preserve">. та достроковим погашенням АБ «УКРГАЗБАНК» депозиту в сумі                        10 000,0 </w:t>
      </w:r>
      <w:proofErr w:type="spellStart"/>
      <w:r>
        <w:rPr>
          <w:spacing w:val="1"/>
          <w:kern w:val="0"/>
          <w:sz w:val="28"/>
          <w:szCs w:val="28"/>
        </w:rPr>
        <w:t>тис.грн</w:t>
      </w:r>
      <w:proofErr w:type="spellEnd"/>
      <w:r>
        <w:rPr>
          <w:spacing w:val="1"/>
          <w:kern w:val="0"/>
          <w:sz w:val="28"/>
          <w:szCs w:val="28"/>
        </w:rPr>
        <w:t>.</w:t>
      </w:r>
    </w:p>
    <w:p w:rsidR="003162EE" w:rsidRDefault="003162EE" w:rsidP="003162EE">
      <w:pPr>
        <w:pStyle w:val="1e1e41413d3d3e3e32323d3d3e3e3939424235353a3a41414242"/>
        <w:ind w:firstLine="567"/>
        <w:jc w:val="both"/>
        <w:rPr>
          <w:sz w:val="28"/>
          <w:szCs w:val="28"/>
        </w:rPr>
      </w:pPr>
      <w:r>
        <w:rPr>
          <w:sz w:val="28"/>
          <w:szCs w:val="28"/>
        </w:rPr>
        <w:t xml:space="preserve">По податку на  майно в частині  земельного податку  в цілому  забезпечено перевиконання  планових показників – 101,0%, тоді як по підкоду 18010600 «Орендна плата з юридичних осіб» виконання склало 99,8%  /-/ </w:t>
      </w:r>
      <w:r w:rsidR="000B2051">
        <w:rPr>
          <w:sz w:val="28"/>
          <w:szCs w:val="28"/>
        </w:rPr>
        <w:t xml:space="preserve">     </w:t>
      </w:r>
      <w:r>
        <w:rPr>
          <w:sz w:val="28"/>
          <w:szCs w:val="28"/>
        </w:rPr>
        <w:t xml:space="preserve">137,9 </w:t>
      </w:r>
      <w:proofErr w:type="spellStart"/>
      <w:r>
        <w:rPr>
          <w:sz w:val="28"/>
          <w:szCs w:val="28"/>
        </w:rPr>
        <w:t>тис.грн</w:t>
      </w:r>
      <w:proofErr w:type="spellEnd"/>
      <w:r>
        <w:rPr>
          <w:sz w:val="28"/>
          <w:szCs w:val="28"/>
        </w:rPr>
        <w:t>. Недонадходження пояснюються несплатою в грудні місяці 2017 року орендної плати деякими юридичними особами: ТОВ «</w:t>
      </w:r>
      <w:proofErr w:type="spellStart"/>
      <w:r>
        <w:rPr>
          <w:sz w:val="28"/>
          <w:szCs w:val="28"/>
        </w:rPr>
        <w:t>Кріпт</w:t>
      </w:r>
      <w:proofErr w:type="spellEnd"/>
      <w:r>
        <w:rPr>
          <w:sz w:val="28"/>
          <w:szCs w:val="28"/>
        </w:rPr>
        <w:t xml:space="preserve">-С» - </w:t>
      </w:r>
      <w:r w:rsidR="000B2051">
        <w:rPr>
          <w:sz w:val="28"/>
          <w:szCs w:val="28"/>
        </w:rPr>
        <w:t xml:space="preserve">                 </w:t>
      </w:r>
      <w:r>
        <w:rPr>
          <w:sz w:val="28"/>
          <w:szCs w:val="28"/>
        </w:rPr>
        <w:t xml:space="preserve">176,9 </w:t>
      </w:r>
      <w:proofErr w:type="spellStart"/>
      <w:r>
        <w:rPr>
          <w:sz w:val="28"/>
          <w:szCs w:val="28"/>
        </w:rPr>
        <w:t>тис.грн</w:t>
      </w:r>
      <w:proofErr w:type="spellEnd"/>
      <w:r>
        <w:rPr>
          <w:sz w:val="28"/>
          <w:szCs w:val="28"/>
        </w:rPr>
        <w:t xml:space="preserve">., ТОВ КРТП- 18,3 </w:t>
      </w:r>
      <w:proofErr w:type="spellStart"/>
      <w:r>
        <w:rPr>
          <w:sz w:val="28"/>
          <w:szCs w:val="28"/>
        </w:rPr>
        <w:t>тис.грн</w:t>
      </w:r>
      <w:proofErr w:type="spellEnd"/>
      <w:r>
        <w:rPr>
          <w:sz w:val="28"/>
          <w:szCs w:val="28"/>
        </w:rPr>
        <w:t>., МПП «</w:t>
      </w:r>
      <w:proofErr w:type="spellStart"/>
      <w:r>
        <w:rPr>
          <w:sz w:val="28"/>
          <w:szCs w:val="28"/>
        </w:rPr>
        <w:t>Ребоб</w:t>
      </w:r>
      <w:proofErr w:type="spellEnd"/>
      <w:r>
        <w:rPr>
          <w:sz w:val="28"/>
          <w:szCs w:val="28"/>
        </w:rPr>
        <w:t xml:space="preserve">» - 11,6 </w:t>
      </w:r>
      <w:proofErr w:type="spellStart"/>
      <w:r>
        <w:rPr>
          <w:sz w:val="28"/>
          <w:szCs w:val="28"/>
        </w:rPr>
        <w:t>тис.грн</w:t>
      </w:r>
      <w:proofErr w:type="spellEnd"/>
      <w:r>
        <w:rPr>
          <w:sz w:val="28"/>
          <w:szCs w:val="28"/>
        </w:rPr>
        <w:t>.  та ін.</w:t>
      </w:r>
    </w:p>
    <w:p w:rsidR="003162EE" w:rsidRDefault="003162EE" w:rsidP="003162EE">
      <w:pPr>
        <w:pStyle w:val="1e1e41413d3d3e3e32323d3d3e3e3939424235353a3a41414242"/>
        <w:ind w:firstLine="709"/>
        <w:jc w:val="both"/>
        <w:rPr>
          <w:sz w:val="28"/>
          <w:szCs w:val="28"/>
        </w:rPr>
      </w:pPr>
      <w:r>
        <w:rPr>
          <w:sz w:val="28"/>
          <w:szCs w:val="28"/>
        </w:rPr>
        <w:t>Слід зазначити, що в 2017 році здійснювалося повернення надміру сплаченого збору</w:t>
      </w:r>
      <w:r>
        <w:t xml:space="preserve"> </w:t>
      </w:r>
      <w:r>
        <w:rPr>
          <w:sz w:val="28"/>
          <w:szCs w:val="28"/>
        </w:rPr>
        <w:t xml:space="preserve">за провадження деяких видів підприємницької діяльності, що справлявся до 1 січня 2015 року. Сума повернення за 2017 рік склала                  /-/ 8,6 </w:t>
      </w:r>
      <w:proofErr w:type="spellStart"/>
      <w:r>
        <w:rPr>
          <w:sz w:val="28"/>
          <w:szCs w:val="28"/>
        </w:rPr>
        <w:t>тис.грн</w:t>
      </w:r>
      <w:proofErr w:type="spellEnd"/>
      <w:r>
        <w:rPr>
          <w:sz w:val="28"/>
          <w:szCs w:val="28"/>
        </w:rPr>
        <w:t>.</w:t>
      </w:r>
    </w:p>
    <w:p w:rsidR="003162EE" w:rsidRDefault="003162EE" w:rsidP="003162EE">
      <w:pPr>
        <w:pStyle w:val="1e1e41413d3d3e3e32323d3d3e3e3939424235353a3a41414242"/>
        <w:ind w:firstLine="709"/>
        <w:jc w:val="both"/>
        <w:rPr>
          <w:sz w:val="28"/>
          <w:szCs w:val="28"/>
        </w:rPr>
      </w:pPr>
    </w:p>
    <w:p w:rsidR="003162EE" w:rsidRDefault="003162EE" w:rsidP="003162EE">
      <w:pPr>
        <w:pStyle w:val="1e1e41413d3d3e3e32323d3d3e3e3939424235353a3a41414242"/>
        <w:ind w:firstLine="567"/>
        <w:jc w:val="both"/>
        <w:rPr>
          <w:sz w:val="28"/>
          <w:szCs w:val="28"/>
        </w:rPr>
      </w:pPr>
      <w:r>
        <w:rPr>
          <w:sz w:val="28"/>
          <w:szCs w:val="28"/>
        </w:rPr>
        <w:t>Відповідно до рішення Кременчуцької міської ради про встановлення податку на майно в частині плати за землю</w:t>
      </w:r>
      <w:r>
        <w:rPr>
          <w:sz w:val="28"/>
          <w:szCs w:val="28"/>
          <w:lang w:val="ru-RU"/>
        </w:rPr>
        <w:t xml:space="preserve"> </w:t>
      </w:r>
      <w:r>
        <w:rPr>
          <w:sz w:val="28"/>
          <w:szCs w:val="28"/>
        </w:rPr>
        <w:t xml:space="preserve"> комунальним підприємствам міста, які  виконують роботи із життєзабезпечення міста</w:t>
      </w:r>
      <w:r>
        <w:rPr>
          <w:color w:val="FF0000"/>
          <w:sz w:val="28"/>
          <w:szCs w:val="28"/>
        </w:rPr>
        <w:t xml:space="preserve"> </w:t>
      </w:r>
      <w:r>
        <w:rPr>
          <w:sz w:val="28"/>
          <w:szCs w:val="28"/>
        </w:rPr>
        <w:t>(6 КП),</w:t>
      </w:r>
      <w:r>
        <w:rPr>
          <w:color w:val="FF0000"/>
          <w:sz w:val="28"/>
          <w:szCs w:val="28"/>
        </w:rPr>
        <w:t xml:space="preserve"> </w:t>
      </w:r>
      <w:r>
        <w:rPr>
          <w:sz w:val="28"/>
          <w:szCs w:val="28"/>
        </w:rPr>
        <w:t xml:space="preserve">надано пільги. </w:t>
      </w:r>
      <w:r>
        <w:rPr>
          <w:sz w:val="28"/>
          <w:szCs w:val="28"/>
          <w:lang w:val="ru-RU"/>
        </w:rPr>
        <w:t>З</w:t>
      </w:r>
      <w:r>
        <w:rPr>
          <w:sz w:val="28"/>
          <w:szCs w:val="28"/>
        </w:rPr>
        <w:t xml:space="preserve">а даними КОДПІ ГУ ДФС у Полтавській області сума втрат  міського бюджету за 2017 </w:t>
      </w:r>
      <w:proofErr w:type="gramStart"/>
      <w:r>
        <w:rPr>
          <w:sz w:val="28"/>
          <w:szCs w:val="28"/>
        </w:rPr>
        <w:t>р</w:t>
      </w:r>
      <w:proofErr w:type="gramEnd"/>
      <w:r>
        <w:rPr>
          <w:sz w:val="28"/>
          <w:szCs w:val="28"/>
        </w:rPr>
        <w:t>ік склала</w:t>
      </w:r>
      <w:r>
        <w:rPr>
          <w:color w:val="FF0000"/>
          <w:sz w:val="28"/>
          <w:szCs w:val="28"/>
        </w:rPr>
        <w:t xml:space="preserve"> </w:t>
      </w:r>
      <w:r>
        <w:rPr>
          <w:sz w:val="28"/>
          <w:szCs w:val="28"/>
        </w:rPr>
        <w:t xml:space="preserve">4 433,8 </w:t>
      </w:r>
      <w:proofErr w:type="spellStart"/>
      <w:r>
        <w:rPr>
          <w:sz w:val="28"/>
          <w:szCs w:val="28"/>
        </w:rPr>
        <w:t>тис.грн</w:t>
      </w:r>
      <w:proofErr w:type="spellEnd"/>
      <w:r>
        <w:rPr>
          <w:sz w:val="28"/>
          <w:szCs w:val="28"/>
        </w:rPr>
        <w:t xml:space="preserve">. </w:t>
      </w:r>
    </w:p>
    <w:p w:rsidR="003162EE" w:rsidRDefault="003162EE" w:rsidP="003162EE">
      <w:pPr>
        <w:pStyle w:val="1e1e41413d3d3e3e32323d3d3e3e3939424235353a3a41414242"/>
        <w:ind w:firstLine="567"/>
        <w:jc w:val="both"/>
        <w:rPr>
          <w:sz w:val="28"/>
          <w:szCs w:val="28"/>
        </w:rPr>
      </w:pPr>
      <w:r>
        <w:rPr>
          <w:sz w:val="28"/>
          <w:szCs w:val="28"/>
        </w:rPr>
        <w:lastRenderedPageBreak/>
        <w:t>Одним із пунктів рішення зобов’язано підприємства спрямовувати вивільнені кошти на поліпшення основних фондів, проведення капітального та поточного ремонтів приміщень, зміцнення матеріально-технічної бази, погашення заборгованості (при її наявності), природоохоронні заходи, тощо.</w:t>
      </w:r>
    </w:p>
    <w:p w:rsidR="003162EE" w:rsidRDefault="003162EE" w:rsidP="003162EE">
      <w:pPr>
        <w:pStyle w:val="1e1e41413d3d3e3e32323d3d3e3e3939424235353a3a41414242"/>
        <w:ind w:firstLine="567"/>
        <w:jc w:val="both"/>
        <w:rPr>
          <w:sz w:val="28"/>
          <w:szCs w:val="28"/>
        </w:rPr>
      </w:pPr>
      <w:r>
        <w:rPr>
          <w:b/>
          <w:sz w:val="28"/>
          <w:szCs w:val="28"/>
        </w:rPr>
        <w:t>По орендній платі</w:t>
      </w:r>
      <w:r>
        <w:rPr>
          <w:sz w:val="28"/>
          <w:szCs w:val="28"/>
        </w:rPr>
        <w:t xml:space="preserve"> за користування цілісним майновим комплексом та іншим майном, що у комунальній власності, проекти рішень готувалися управлінням міського майна Кременчуцької міської ради Полтавської області та виносилися на обговорення депутатських комісій. </w:t>
      </w:r>
    </w:p>
    <w:p w:rsidR="003162EE" w:rsidRDefault="003162EE" w:rsidP="003162EE">
      <w:pPr>
        <w:ind w:firstLine="709"/>
        <w:jc w:val="both"/>
        <w:rPr>
          <w:sz w:val="28"/>
          <w:szCs w:val="28"/>
        </w:rPr>
      </w:pPr>
      <w:r>
        <w:rPr>
          <w:color w:val="FF0000"/>
          <w:sz w:val="28"/>
          <w:szCs w:val="28"/>
        </w:rPr>
        <w:t xml:space="preserve"> </w:t>
      </w:r>
      <w:r>
        <w:rPr>
          <w:sz w:val="28"/>
          <w:szCs w:val="28"/>
        </w:rPr>
        <w:t xml:space="preserve">Рішеннями Кременчуцької міської ради надавалися  пільги громадським організаціям, які об’єднують пільгові категорії громадян та потребують підтримки з боку влади, а також деяким комунальним підприємствам. Всього 17  одержувачів  пільг, сума втрат  за 2017 рік склала 425,9  </w:t>
      </w:r>
      <w:proofErr w:type="spellStart"/>
      <w:r>
        <w:rPr>
          <w:sz w:val="28"/>
          <w:szCs w:val="28"/>
        </w:rPr>
        <w:t>тис.грн</w:t>
      </w:r>
      <w:proofErr w:type="spellEnd"/>
      <w:r>
        <w:rPr>
          <w:sz w:val="28"/>
          <w:szCs w:val="28"/>
        </w:rPr>
        <w:t>. (за даними управління міського майна Кременчуцької міської ради Полтавської області).</w:t>
      </w:r>
    </w:p>
    <w:p w:rsidR="003162EE" w:rsidRDefault="003162EE" w:rsidP="003162EE">
      <w:pPr>
        <w:ind w:firstLine="709"/>
        <w:jc w:val="both"/>
        <w:rPr>
          <w:sz w:val="28"/>
          <w:szCs w:val="28"/>
        </w:rPr>
      </w:pPr>
    </w:p>
    <w:p w:rsidR="003162EE" w:rsidRDefault="003162EE" w:rsidP="003162EE">
      <w:pPr>
        <w:pStyle w:val="1"/>
        <w:jc w:val="center"/>
        <w:rPr>
          <w:rFonts w:ascii="Times New Roman" w:hAnsi="Times New Roman"/>
          <w:sz w:val="28"/>
          <w:szCs w:val="28"/>
        </w:rPr>
      </w:pPr>
      <w:r>
        <w:rPr>
          <w:rFonts w:ascii="Times New Roman" w:hAnsi="Times New Roman"/>
          <w:sz w:val="28"/>
        </w:rPr>
        <w:t>Спеціальний фонд</w:t>
      </w:r>
    </w:p>
    <w:p w:rsidR="003162EE" w:rsidRDefault="003162EE" w:rsidP="003162EE">
      <w:pPr>
        <w:pStyle w:val="1e1e41413d3d3e3e32323d3d3e3e3939424235353a3a41414242"/>
        <w:ind w:firstLine="567"/>
        <w:jc w:val="both"/>
        <w:rPr>
          <w:sz w:val="28"/>
          <w:szCs w:val="28"/>
        </w:rPr>
      </w:pPr>
      <w:r>
        <w:rPr>
          <w:b/>
          <w:sz w:val="28"/>
          <w:szCs w:val="28"/>
        </w:rPr>
        <w:t>По</w:t>
      </w:r>
      <w:r>
        <w:rPr>
          <w:sz w:val="28"/>
          <w:szCs w:val="28"/>
        </w:rPr>
        <w:t xml:space="preserve"> </w:t>
      </w:r>
      <w:r>
        <w:rPr>
          <w:b/>
          <w:sz w:val="28"/>
          <w:szCs w:val="28"/>
        </w:rPr>
        <w:t xml:space="preserve">спеціальному фонду </w:t>
      </w:r>
      <w:r>
        <w:rPr>
          <w:sz w:val="28"/>
          <w:szCs w:val="28"/>
        </w:rPr>
        <w:t xml:space="preserve">при уточненому річному плані –                       129 256,6 </w:t>
      </w:r>
      <w:proofErr w:type="spellStart"/>
      <w:r>
        <w:rPr>
          <w:sz w:val="28"/>
          <w:szCs w:val="28"/>
        </w:rPr>
        <w:t>тис.грн</w:t>
      </w:r>
      <w:proofErr w:type="spellEnd"/>
      <w:r>
        <w:rPr>
          <w:sz w:val="28"/>
          <w:szCs w:val="28"/>
        </w:rPr>
        <w:t xml:space="preserve">.  фактично надійшло – 146 159,6  </w:t>
      </w:r>
      <w:proofErr w:type="spellStart"/>
      <w:r>
        <w:rPr>
          <w:sz w:val="28"/>
          <w:szCs w:val="28"/>
        </w:rPr>
        <w:t>тис.грн</w:t>
      </w:r>
      <w:proofErr w:type="spellEnd"/>
      <w:r>
        <w:rPr>
          <w:sz w:val="28"/>
          <w:szCs w:val="28"/>
        </w:rPr>
        <w:t xml:space="preserve">., виконання  склало 113,1% /+/ 16 902,9 </w:t>
      </w:r>
      <w:proofErr w:type="spellStart"/>
      <w:r>
        <w:rPr>
          <w:sz w:val="28"/>
          <w:szCs w:val="28"/>
        </w:rPr>
        <w:t>тис.грн</w:t>
      </w:r>
      <w:proofErr w:type="spellEnd"/>
      <w:r>
        <w:rPr>
          <w:sz w:val="28"/>
          <w:szCs w:val="28"/>
        </w:rPr>
        <w:t xml:space="preserve">., в тому числі: без офіційних трансфертів при річному уточненому  плані  50 204,2 </w:t>
      </w:r>
      <w:proofErr w:type="spellStart"/>
      <w:r>
        <w:rPr>
          <w:sz w:val="28"/>
          <w:szCs w:val="28"/>
        </w:rPr>
        <w:t>тис.грн</w:t>
      </w:r>
      <w:proofErr w:type="spellEnd"/>
      <w:r>
        <w:rPr>
          <w:sz w:val="28"/>
          <w:szCs w:val="28"/>
        </w:rPr>
        <w:t xml:space="preserve">. фактично надійшло                   73 354,4 </w:t>
      </w:r>
      <w:proofErr w:type="spellStart"/>
      <w:r>
        <w:rPr>
          <w:sz w:val="28"/>
          <w:szCs w:val="28"/>
        </w:rPr>
        <w:t>тис.грн</w:t>
      </w:r>
      <w:proofErr w:type="spellEnd"/>
      <w:r>
        <w:rPr>
          <w:sz w:val="28"/>
          <w:szCs w:val="28"/>
        </w:rPr>
        <w:t xml:space="preserve">. або 146,1% /+/23 150,2 </w:t>
      </w:r>
      <w:proofErr w:type="spellStart"/>
      <w:r>
        <w:rPr>
          <w:sz w:val="28"/>
          <w:szCs w:val="28"/>
        </w:rPr>
        <w:t>тис.грн</w:t>
      </w:r>
      <w:proofErr w:type="spellEnd"/>
      <w:r>
        <w:rPr>
          <w:sz w:val="28"/>
          <w:szCs w:val="28"/>
        </w:rPr>
        <w:t xml:space="preserve">. та по офіційних трансфертах при річному плані  79 052,5 </w:t>
      </w:r>
      <w:proofErr w:type="spellStart"/>
      <w:r>
        <w:rPr>
          <w:sz w:val="28"/>
          <w:szCs w:val="28"/>
        </w:rPr>
        <w:t>тис.грн</w:t>
      </w:r>
      <w:proofErr w:type="spellEnd"/>
      <w:r>
        <w:rPr>
          <w:sz w:val="28"/>
          <w:szCs w:val="28"/>
        </w:rPr>
        <w:t xml:space="preserve">. отримано 72 805,2  </w:t>
      </w:r>
      <w:proofErr w:type="spellStart"/>
      <w:r>
        <w:rPr>
          <w:sz w:val="28"/>
          <w:szCs w:val="28"/>
        </w:rPr>
        <w:t>тис.грн</w:t>
      </w:r>
      <w:proofErr w:type="spellEnd"/>
      <w:r>
        <w:rPr>
          <w:sz w:val="28"/>
          <w:szCs w:val="28"/>
        </w:rPr>
        <w:t>. або 92,1%.</w:t>
      </w:r>
    </w:p>
    <w:p w:rsidR="003162EE" w:rsidRDefault="003162EE" w:rsidP="003162EE">
      <w:pPr>
        <w:jc w:val="right"/>
        <w:rPr>
          <w:sz w:val="28"/>
          <w:szCs w:val="28"/>
        </w:rPr>
      </w:pPr>
      <w:r>
        <w:rPr>
          <w:bCs/>
          <w:iCs/>
          <w:color w:val="FF0000"/>
          <w:sz w:val="28"/>
          <w:szCs w:val="28"/>
        </w:rPr>
        <w:tab/>
      </w:r>
      <w:proofErr w:type="spellStart"/>
      <w:r>
        <w:rPr>
          <w:iCs/>
          <w:sz w:val="28"/>
          <w:szCs w:val="28"/>
        </w:rPr>
        <w:t>тис.грн</w:t>
      </w:r>
      <w:proofErr w:type="spellEnd"/>
      <w:r>
        <w:rPr>
          <w:iCs/>
          <w:sz w:val="28"/>
          <w:szCs w:val="28"/>
        </w:rPr>
        <w:t>.</w:t>
      </w:r>
    </w:p>
    <w:p w:rsidR="003162EE" w:rsidRDefault="003162EE" w:rsidP="003162EE">
      <w:pPr>
        <w:pStyle w:val="1e1e41413d3d3e3e32323d3d3e3e3939424235353a3a41414242"/>
        <w:jc w:val="both"/>
        <w:rPr>
          <w:color w:val="FF0000"/>
          <w:sz w:val="28"/>
          <w:szCs w:val="28"/>
        </w:rPr>
      </w:pPr>
      <w:r>
        <w:rPr>
          <w:noProof/>
          <w:lang w:val="ru-RU"/>
        </w:rPr>
        <w:drawing>
          <wp:inline distT="0" distB="0" distL="0" distR="0">
            <wp:extent cx="6121400" cy="3898900"/>
            <wp:effectExtent l="0" t="0" r="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1400" cy="3898900"/>
                    </a:xfrm>
                    <a:prstGeom prst="rect">
                      <a:avLst/>
                    </a:prstGeom>
                    <a:noFill/>
                    <a:ln>
                      <a:noFill/>
                    </a:ln>
                  </pic:spPr>
                </pic:pic>
              </a:graphicData>
            </a:graphic>
          </wp:inline>
        </w:drawing>
      </w:r>
    </w:p>
    <w:p w:rsidR="003162EE" w:rsidRDefault="003162EE" w:rsidP="003162EE">
      <w:pPr>
        <w:ind w:firstLine="709"/>
        <w:jc w:val="both"/>
        <w:rPr>
          <w:sz w:val="28"/>
          <w:szCs w:val="28"/>
        </w:rPr>
      </w:pPr>
      <w:r>
        <w:rPr>
          <w:sz w:val="28"/>
          <w:szCs w:val="28"/>
        </w:rPr>
        <w:t xml:space="preserve">Порівняно з 2016 роком надходження до спеціального фонду без врахування трансфертів збільшились на 0,9% /+/ 686,0 </w:t>
      </w:r>
      <w:proofErr w:type="spellStart"/>
      <w:r>
        <w:rPr>
          <w:sz w:val="28"/>
          <w:szCs w:val="28"/>
        </w:rPr>
        <w:t>тис.грн</w:t>
      </w:r>
      <w:proofErr w:type="spellEnd"/>
      <w:r>
        <w:rPr>
          <w:sz w:val="28"/>
          <w:szCs w:val="28"/>
        </w:rPr>
        <w:t>.</w:t>
      </w:r>
    </w:p>
    <w:p w:rsidR="003162EE" w:rsidRDefault="003162EE" w:rsidP="003162EE">
      <w:pPr>
        <w:autoSpaceDE w:val="0"/>
        <w:autoSpaceDN w:val="0"/>
        <w:adjustRightInd w:val="0"/>
        <w:spacing w:after="120"/>
        <w:ind w:firstLine="567"/>
        <w:jc w:val="both"/>
        <w:rPr>
          <w:kern w:val="2"/>
          <w:sz w:val="28"/>
          <w:szCs w:val="28"/>
        </w:rPr>
      </w:pPr>
      <w:r>
        <w:rPr>
          <w:kern w:val="2"/>
          <w:sz w:val="28"/>
          <w:szCs w:val="28"/>
        </w:rPr>
        <w:lastRenderedPageBreak/>
        <w:t xml:space="preserve">Станом на 01.01.2018 до бюджету розвитку  фактично надійшло -                 8 258,5 </w:t>
      </w:r>
      <w:proofErr w:type="spellStart"/>
      <w:r>
        <w:rPr>
          <w:kern w:val="2"/>
          <w:sz w:val="28"/>
          <w:szCs w:val="28"/>
        </w:rPr>
        <w:t>тис.грн</w:t>
      </w:r>
      <w:proofErr w:type="spellEnd"/>
      <w:r>
        <w:rPr>
          <w:kern w:val="2"/>
          <w:sz w:val="28"/>
          <w:szCs w:val="28"/>
        </w:rPr>
        <w:t xml:space="preserve">. при річному плані 6 300,1  </w:t>
      </w:r>
      <w:proofErr w:type="spellStart"/>
      <w:r>
        <w:rPr>
          <w:kern w:val="2"/>
          <w:sz w:val="28"/>
          <w:szCs w:val="28"/>
        </w:rPr>
        <w:t>тис.грн</w:t>
      </w:r>
      <w:proofErr w:type="spellEnd"/>
      <w:r>
        <w:rPr>
          <w:kern w:val="2"/>
          <w:sz w:val="28"/>
          <w:szCs w:val="28"/>
        </w:rPr>
        <w:t xml:space="preserve">. /+/ 1 958,4  </w:t>
      </w:r>
      <w:proofErr w:type="spellStart"/>
      <w:r>
        <w:rPr>
          <w:kern w:val="2"/>
          <w:sz w:val="28"/>
          <w:szCs w:val="28"/>
        </w:rPr>
        <w:t>тис.грн</w:t>
      </w:r>
      <w:proofErr w:type="spellEnd"/>
      <w:r>
        <w:rPr>
          <w:kern w:val="2"/>
          <w:sz w:val="28"/>
          <w:szCs w:val="28"/>
        </w:rPr>
        <w:t>.  або 131,1%, в тому числі:</w:t>
      </w:r>
    </w:p>
    <w:p w:rsidR="003162EE" w:rsidRDefault="003162EE" w:rsidP="003162EE">
      <w:pPr>
        <w:ind w:firstLine="709"/>
        <w:jc w:val="both"/>
        <w:rPr>
          <w:sz w:val="28"/>
          <w:szCs w:val="28"/>
        </w:rPr>
      </w:pPr>
      <w:r>
        <w:rPr>
          <w:sz w:val="28"/>
          <w:szCs w:val="28"/>
        </w:rPr>
        <w:t xml:space="preserve"> по надходженню коштів пайової участі у розвитку інфраструктури населеного пункту виконання уточненого річного плану забезпечено на 165,6% при плані  4 100,0 </w:t>
      </w:r>
      <w:proofErr w:type="spellStart"/>
      <w:r>
        <w:rPr>
          <w:sz w:val="28"/>
          <w:szCs w:val="28"/>
        </w:rPr>
        <w:t>тис.грн</w:t>
      </w:r>
      <w:proofErr w:type="spellEnd"/>
      <w:r>
        <w:rPr>
          <w:sz w:val="28"/>
          <w:szCs w:val="28"/>
        </w:rPr>
        <w:t xml:space="preserve">. фактично отримано 6 789,4 </w:t>
      </w:r>
      <w:proofErr w:type="spellStart"/>
      <w:r>
        <w:rPr>
          <w:sz w:val="28"/>
          <w:szCs w:val="28"/>
        </w:rPr>
        <w:t>тис.грн</w:t>
      </w:r>
      <w:proofErr w:type="spellEnd"/>
      <w:r>
        <w:rPr>
          <w:sz w:val="28"/>
          <w:szCs w:val="28"/>
        </w:rPr>
        <w:t xml:space="preserve">.                                    /+/ 2 689,4 </w:t>
      </w:r>
      <w:proofErr w:type="spellStart"/>
      <w:r>
        <w:rPr>
          <w:sz w:val="28"/>
          <w:szCs w:val="28"/>
        </w:rPr>
        <w:t>тис.грн</w:t>
      </w:r>
      <w:proofErr w:type="spellEnd"/>
      <w:r>
        <w:rPr>
          <w:sz w:val="28"/>
          <w:szCs w:val="28"/>
        </w:rPr>
        <w:t>.;</w:t>
      </w:r>
    </w:p>
    <w:p w:rsidR="003162EE" w:rsidRDefault="003162EE" w:rsidP="003162EE">
      <w:pPr>
        <w:ind w:firstLine="709"/>
        <w:jc w:val="both"/>
        <w:rPr>
          <w:sz w:val="28"/>
          <w:szCs w:val="28"/>
        </w:rPr>
      </w:pPr>
      <w:r>
        <w:rPr>
          <w:sz w:val="28"/>
          <w:szCs w:val="28"/>
        </w:rPr>
        <w:t>по надходженню коштів від продажу землі  виконання уточненого річного плану склало – 33,7%  при плані  1 307,</w:t>
      </w:r>
      <w:r>
        <w:rPr>
          <w:sz w:val="28"/>
          <w:szCs w:val="28"/>
          <w:lang w:val="ru-RU"/>
        </w:rPr>
        <w:t>1</w:t>
      </w:r>
      <w:r>
        <w:rPr>
          <w:sz w:val="28"/>
          <w:szCs w:val="28"/>
        </w:rPr>
        <w:t xml:space="preserve"> </w:t>
      </w:r>
      <w:proofErr w:type="spellStart"/>
      <w:r>
        <w:rPr>
          <w:sz w:val="28"/>
          <w:szCs w:val="28"/>
        </w:rPr>
        <w:t>тис.грн</w:t>
      </w:r>
      <w:proofErr w:type="spellEnd"/>
      <w:r>
        <w:rPr>
          <w:sz w:val="28"/>
          <w:szCs w:val="28"/>
        </w:rPr>
        <w:t xml:space="preserve">. фактично отримано  440,5 </w:t>
      </w:r>
      <w:proofErr w:type="spellStart"/>
      <w:r>
        <w:rPr>
          <w:sz w:val="28"/>
          <w:szCs w:val="28"/>
        </w:rPr>
        <w:t>тис.грн</w:t>
      </w:r>
      <w:proofErr w:type="spellEnd"/>
      <w:r>
        <w:rPr>
          <w:sz w:val="28"/>
          <w:szCs w:val="28"/>
        </w:rPr>
        <w:t xml:space="preserve">. /-/  866,6 </w:t>
      </w:r>
      <w:proofErr w:type="spellStart"/>
      <w:r>
        <w:rPr>
          <w:sz w:val="28"/>
          <w:szCs w:val="28"/>
        </w:rPr>
        <w:t>тис.грн</w:t>
      </w:r>
      <w:proofErr w:type="spellEnd"/>
      <w:r>
        <w:rPr>
          <w:sz w:val="28"/>
          <w:szCs w:val="28"/>
        </w:rPr>
        <w:t>..</w:t>
      </w:r>
      <w:r>
        <w:rPr>
          <w:color w:val="FF0000"/>
          <w:sz w:val="28"/>
          <w:szCs w:val="28"/>
        </w:rPr>
        <w:t xml:space="preserve"> </w:t>
      </w:r>
      <w:r>
        <w:rPr>
          <w:sz w:val="28"/>
          <w:szCs w:val="28"/>
        </w:rPr>
        <w:t>При плануванні даного джерела доходів  були враховані пропозиції управління земельних ресурсів виконавчого комітету Кременчуцької міської ради Полтавської області. З пояснень щодо невиконання: неможливість прогнозування надходжень, оскільки даний показник обумовлюється виключно бажанням землекористувача та загальною фінансовою ситуацією (зростання інфляції, відсутність кредитування, зниження платоспроможності покупців, збільшенням вартості земельних ділянок, що призводить до зменшення укладених договорів).</w:t>
      </w:r>
    </w:p>
    <w:p w:rsidR="003162EE" w:rsidRDefault="003162EE" w:rsidP="003162EE">
      <w:pPr>
        <w:ind w:firstLine="709"/>
        <w:jc w:val="both"/>
        <w:rPr>
          <w:sz w:val="28"/>
          <w:szCs w:val="28"/>
        </w:rPr>
      </w:pPr>
      <w:r>
        <w:rPr>
          <w:sz w:val="28"/>
          <w:szCs w:val="28"/>
        </w:rPr>
        <w:t xml:space="preserve">по надходженню коштів від відчуження майна, що перебуває в комунальній власності, при уточненому річному плані 893,0 </w:t>
      </w:r>
      <w:proofErr w:type="spellStart"/>
      <w:r>
        <w:rPr>
          <w:sz w:val="28"/>
          <w:szCs w:val="28"/>
        </w:rPr>
        <w:t>тис.грн</w:t>
      </w:r>
      <w:proofErr w:type="spellEnd"/>
      <w:r>
        <w:rPr>
          <w:sz w:val="28"/>
          <w:szCs w:val="28"/>
        </w:rPr>
        <w:t xml:space="preserve">. фактично надійшло 1 028,6 </w:t>
      </w:r>
      <w:proofErr w:type="spellStart"/>
      <w:r>
        <w:rPr>
          <w:sz w:val="28"/>
          <w:szCs w:val="28"/>
        </w:rPr>
        <w:t>тис.грн</w:t>
      </w:r>
      <w:proofErr w:type="spellEnd"/>
      <w:r>
        <w:rPr>
          <w:sz w:val="28"/>
          <w:szCs w:val="28"/>
        </w:rPr>
        <w:t xml:space="preserve">. /+/ 135,6  </w:t>
      </w:r>
      <w:proofErr w:type="spellStart"/>
      <w:r>
        <w:rPr>
          <w:sz w:val="28"/>
          <w:szCs w:val="28"/>
        </w:rPr>
        <w:t>тис.грн</w:t>
      </w:r>
      <w:proofErr w:type="spellEnd"/>
      <w:r>
        <w:rPr>
          <w:sz w:val="28"/>
          <w:szCs w:val="28"/>
        </w:rPr>
        <w:t>. або 115,2%.</w:t>
      </w:r>
    </w:p>
    <w:p w:rsidR="003162EE" w:rsidRDefault="003162EE" w:rsidP="003162EE">
      <w:pPr>
        <w:ind w:firstLine="709"/>
        <w:jc w:val="right"/>
        <w:rPr>
          <w:iCs/>
          <w:sz w:val="28"/>
          <w:szCs w:val="28"/>
          <w:lang w:val="ru-RU"/>
        </w:rPr>
      </w:pPr>
      <w:r>
        <w:rPr>
          <w:iCs/>
          <w:sz w:val="28"/>
          <w:szCs w:val="28"/>
        </w:rPr>
        <w:t>тис.</w:t>
      </w:r>
      <w:r>
        <w:rPr>
          <w:iCs/>
          <w:sz w:val="28"/>
          <w:szCs w:val="28"/>
          <w:lang w:val="ru-RU"/>
        </w:rPr>
        <w:t>грн.</w:t>
      </w:r>
    </w:p>
    <w:p w:rsidR="003162EE" w:rsidRDefault="003162EE" w:rsidP="003162EE">
      <w:pPr>
        <w:jc w:val="both"/>
        <w:rPr>
          <w:color w:val="FF0000"/>
        </w:rPr>
      </w:pPr>
      <w:r>
        <w:rPr>
          <w:noProof/>
          <w:lang w:val="ru-RU" w:eastAsia="ru-RU"/>
        </w:rPr>
        <w:drawing>
          <wp:inline distT="0" distB="0" distL="0" distR="0">
            <wp:extent cx="5791200" cy="4445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91200" cy="4445000"/>
                    </a:xfrm>
                    <a:prstGeom prst="rect">
                      <a:avLst/>
                    </a:prstGeom>
                    <a:noFill/>
                    <a:ln>
                      <a:noFill/>
                    </a:ln>
                  </pic:spPr>
                </pic:pic>
              </a:graphicData>
            </a:graphic>
          </wp:inline>
        </w:drawing>
      </w:r>
    </w:p>
    <w:p w:rsidR="003162EE" w:rsidRDefault="003162EE" w:rsidP="003162EE">
      <w:pPr>
        <w:ind w:firstLine="709"/>
        <w:jc w:val="both"/>
        <w:rPr>
          <w:sz w:val="28"/>
          <w:szCs w:val="28"/>
        </w:rPr>
      </w:pPr>
    </w:p>
    <w:p w:rsidR="003162EE" w:rsidRDefault="003162EE" w:rsidP="003162EE">
      <w:pPr>
        <w:ind w:firstLine="709"/>
        <w:jc w:val="both"/>
        <w:rPr>
          <w:sz w:val="28"/>
          <w:szCs w:val="28"/>
        </w:rPr>
      </w:pPr>
      <w:r>
        <w:rPr>
          <w:sz w:val="28"/>
          <w:szCs w:val="28"/>
        </w:rPr>
        <w:t xml:space="preserve">По коду 25000000 «Власні надходження бюджетних установ»  в цілому планові показники виконані на 159,5% при  плані 36 486,8 </w:t>
      </w:r>
      <w:proofErr w:type="spellStart"/>
      <w:r>
        <w:rPr>
          <w:sz w:val="28"/>
          <w:szCs w:val="28"/>
        </w:rPr>
        <w:t>тис.грн</w:t>
      </w:r>
      <w:proofErr w:type="spellEnd"/>
      <w:r>
        <w:rPr>
          <w:sz w:val="28"/>
          <w:szCs w:val="28"/>
        </w:rPr>
        <w:t xml:space="preserve">. фактично отримано 58 189,8 </w:t>
      </w:r>
      <w:proofErr w:type="spellStart"/>
      <w:r>
        <w:rPr>
          <w:sz w:val="28"/>
          <w:szCs w:val="28"/>
        </w:rPr>
        <w:t>тис.грн</w:t>
      </w:r>
      <w:proofErr w:type="spellEnd"/>
      <w:r>
        <w:rPr>
          <w:sz w:val="28"/>
          <w:szCs w:val="28"/>
        </w:rPr>
        <w:t>.</w:t>
      </w:r>
    </w:p>
    <w:p w:rsidR="003162EE" w:rsidRDefault="003162EE" w:rsidP="003162EE">
      <w:pPr>
        <w:ind w:firstLine="709"/>
        <w:jc w:val="both"/>
        <w:rPr>
          <w:sz w:val="28"/>
          <w:szCs w:val="28"/>
        </w:rPr>
      </w:pPr>
      <w:r>
        <w:rPr>
          <w:sz w:val="28"/>
          <w:szCs w:val="28"/>
        </w:rPr>
        <w:lastRenderedPageBreak/>
        <w:t xml:space="preserve">По екологічному податку виконання річного уточненого плану склало 88,8% при плані 6 827,6 </w:t>
      </w:r>
      <w:proofErr w:type="spellStart"/>
      <w:r>
        <w:rPr>
          <w:sz w:val="28"/>
          <w:szCs w:val="28"/>
        </w:rPr>
        <w:t>тис.грн</w:t>
      </w:r>
      <w:proofErr w:type="spellEnd"/>
      <w:r>
        <w:rPr>
          <w:sz w:val="28"/>
          <w:szCs w:val="28"/>
        </w:rPr>
        <w:t xml:space="preserve">. фактично надійшло  6 061,4 </w:t>
      </w:r>
      <w:proofErr w:type="spellStart"/>
      <w:r>
        <w:rPr>
          <w:sz w:val="28"/>
          <w:szCs w:val="28"/>
        </w:rPr>
        <w:t>тис.грн</w:t>
      </w:r>
      <w:proofErr w:type="spellEnd"/>
      <w:r>
        <w:rPr>
          <w:sz w:val="28"/>
          <w:szCs w:val="28"/>
        </w:rPr>
        <w:t xml:space="preserve">., недоотримано /-/766,2 </w:t>
      </w:r>
      <w:proofErr w:type="spellStart"/>
      <w:r>
        <w:rPr>
          <w:sz w:val="28"/>
          <w:szCs w:val="28"/>
        </w:rPr>
        <w:t>тис.грн</w:t>
      </w:r>
      <w:proofErr w:type="spellEnd"/>
      <w:r>
        <w:rPr>
          <w:sz w:val="28"/>
          <w:szCs w:val="28"/>
        </w:rPr>
        <w:t>.</w:t>
      </w:r>
    </w:p>
    <w:p w:rsidR="003162EE" w:rsidRDefault="003162EE" w:rsidP="003162EE">
      <w:pPr>
        <w:ind w:firstLine="709"/>
        <w:jc w:val="both"/>
        <w:rPr>
          <w:sz w:val="28"/>
          <w:szCs w:val="28"/>
        </w:rPr>
      </w:pPr>
      <w:r>
        <w:rPr>
          <w:sz w:val="28"/>
          <w:szCs w:val="28"/>
        </w:rPr>
        <w:t xml:space="preserve">Слід зазначити, що за І півріччя 2017 року виконання до річних запланованих показників по екологічному податку складало 69,4%  та  на звітну дату 139,0% /+/ 1 032,0 </w:t>
      </w:r>
      <w:proofErr w:type="spellStart"/>
      <w:r>
        <w:rPr>
          <w:sz w:val="28"/>
          <w:szCs w:val="28"/>
        </w:rPr>
        <w:t>тис.грн</w:t>
      </w:r>
      <w:proofErr w:type="spellEnd"/>
      <w:r>
        <w:rPr>
          <w:sz w:val="28"/>
          <w:szCs w:val="28"/>
        </w:rPr>
        <w:t>..</w:t>
      </w:r>
    </w:p>
    <w:p w:rsidR="003162EE" w:rsidRDefault="003162EE" w:rsidP="003162EE">
      <w:pPr>
        <w:ind w:firstLine="709"/>
        <w:jc w:val="both"/>
        <w:rPr>
          <w:sz w:val="28"/>
          <w:szCs w:val="28"/>
        </w:rPr>
      </w:pPr>
      <w:r>
        <w:rPr>
          <w:sz w:val="28"/>
          <w:szCs w:val="28"/>
        </w:rPr>
        <w:t xml:space="preserve">Враховуючи значне перевиконання та </w:t>
      </w:r>
      <w:r>
        <w:rPr>
          <w:sz w:val="28"/>
          <w:szCs w:val="28"/>
          <w:lang w:eastAsia="ar-SA"/>
        </w:rPr>
        <w:t xml:space="preserve">лист начальника відділу екологічної безпеки, з метою забезпечення ефективного, результативного і цільового використання бюджетних коштів, планові показники було збільшено на суму 1527,6 </w:t>
      </w:r>
      <w:proofErr w:type="spellStart"/>
      <w:r>
        <w:rPr>
          <w:sz w:val="28"/>
          <w:szCs w:val="28"/>
          <w:lang w:eastAsia="ar-SA"/>
        </w:rPr>
        <w:t>тис.грн</w:t>
      </w:r>
      <w:proofErr w:type="spellEnd"/>
      <w:r>
        <w:rPr>
          <w:sz w:val="28"/>
          <w:szCs w:val="28"/>
          <w:lang w:eastAsia="ar-SA"/>
        </w:rPr>
        <w:t xml:space="preserve">. з врахуванням очікуваного перевиконання до кінця року. </w:t>
      </w:r>
    </w:p>
    <w:p w:rsidR="003162EE" w:rsidRDefault="003162EE" w:rsidP="003162EE">
      <w:pPr>
        <w:tabs>
          <w:tab w:val="left" w:pos="900"/>
        </w:tabs>
        <w:suppressAutoHyphens/>
        <w:ind w:firstLine="851"/>
        <w:jc w:val="both"/>
        <w:rPr>
          <w:rFonts w:eastAsia="Arial11" w:cs="Times New Roman1"/>
          <w:sz w:val="28"/>
          <w:szCs w:val="28"/>
          <w:lang w:eastAsia="zh-CN" w:bidi="hi-IN"/>
        </w:rPr>
      </w:pPr>
      <w:r>
        <w:rPr>
          <w:rFonts w:eastAsia="Arial11" w:cs="Times New Roman1"/>
          <w:sz w:val="28"/>
          <w:szCs w:val="28"/>
          <w:lang w:eastAsia="zh-CN" w:bidi="hi-IN"/>
        </w:rPr>
        <w:t>В той же час, за поясненням Кременчуцької ОДПІ ГУ ДФС у Полтавській області в 2017 році спостерігалось зменшення нарахувань екологічного податку по основних платниках ПАТ «Укртатнафта» та                    ПАТ «</w:t>
      </w:r>
      <w:proofErr w:type="spellStart"/>
      <w:r>
        <w:rPr>
          <w:rFonts w:eastAsia="Arial11" w:cs="Times New Roman1"/>
          <w:sz w:val="28"/>
          <w:szCs w:val="28"/>
          <w:lang w:eastAsia="zh-CN" w:bidi="hi-IN"/>
        </w:rPr>
        <w:t>Полтаваобленерго</w:t>
      </w:r>
      <w:proofErr w:type="spellEnd"/>
      <w:r>
        <w:rPr>
          <w:rFonts w:eastAsia="Arial11" w:cs="Times New Roman1"/>
          <w:sz w:val="28"/>
          <w:szCs w:val="28"/>
          <w:lang w:eastAsia="zh-CN" w:bidi="hi-IN"/>
        </w:rPr>
        <w:t xml:space="preserve">» у зв’язку із зменшенням обсягу викидів забруднюючих речовин. </w:t>
      </w:r>
    </w:p>
    <w:p w:rsidR="003162EE" w:rsidRDefault="003162EE" w:rsidP="003162EE">
      <w:pPr>
        <w:suppressAutoHyphens/>
        <w:jc w:val="right"/>
        <w:rPr>
          <w:sz w:val="28"/>
          <w:szCs w:val="28"/>
          <w:lang w:eastAsia="zh-CN"/>
        </w:rPr>
      </w:pPr>
      <w:r>
        <w:rPr>
          <w:sz w:val="28"/>
          <w:szCs w:val="28"/>
          <w:lang w:eastAsia="zh-CN"/>
        </w:rPr>
        <w:t>тис. грн.</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1"/>
        <w:gridCol w:w="3093"/>
        <w:gridCol w:w="2835"/>
      </w:tblGrid>
      <w:tr w:rsidR="003162EE" w:rsidTr="003162EE">
        <w:trPr>
          <w:trHeight w:val="612"/>
        </w:trPr>
        <w:tc>
          <w:tcPr>
            <w:tcW w:w="3961" w:type="dxa"/>
            <w:tcBorders>
              <w:top w:val="single" w:sz="4" w:space="0" w:color="auto"/>
              <w:left w:val="single" w:sz="4" w:space="0" w:color="auto"/>
              <w:bottom w:val="single" w:sz="4" w:space="0" w:color="auto"/>
              <w:right w:val="single" w:sz="4" w:space="0" w:color="auto"/>
            </w:tcBorders>
            <w:vAlign w:val="center"/>
            <w:hideMark/>
          </w:tcPr>
          <w:p w:rsidR="003162EE" w:rsidRDefault="003162EE">
            <w:pPr>
              <w:suppressAutoHyphens/>
              <w:jc w:val="center"/>
              <w:rPr>
                <w:sz w:val="28"/>
                <w:szCs w:val="28"/>
                <w:lang w:eastAsia="zh-CN"/>
              </w:rPr>
            </w:pPr>
            <w:r>
              <w:rPr>
                <w:sz w:val="28"/>
                <w:szCs w:val="28"/>
                <w:lang w:eastAsia="zh-CN"/>
              </w:rPr>
              <w:t>Назва підприємства</w:t>
            </w:r>
          </w:p>
        </w:tc>
        <w:tc>
          <w:tcPr>
            <w:tcW w:w="3093" w:type="dxa"/>
            <w:tcBorders>
              <w:top w:val="single" w:sz="4" w:space="0" w:color="auto"/>
              <w:left w:val="single" w:sz="4" w:space="0" w:color="auto"/>
              <w:bottom w:val="single" w:sz="4" w:space="0" w:color="auto"/>
              <w:right w:val="single" w:sz="4" w:space="0" w:color="auto"/>
            </w:tcBorders>
            <w:vAlign w:val="center"/>
            <w:hideMark/>
          </w:tcPr>
          <w:p w:rsidR="003162EE" w:rsidRDefault="003162EE">
            <w:pPr>
              <w:suppressAutoHyphens/>
              <w:jc w:val="center"/>
              <w:rPr>
                <w:sz w:val="28"/>
                <w:szCs w:val="28"/>
                <w:lang w:eastAsia="zh-CN"/>
              </w:rPr>
            </w:pPr>
            <w:r>
              <w:rPr>
                <w:sz w:val="28"/>
                <w:szCs w:val="28"/>
                <w:lang w:eastAsia="zh-CN"/>
              </w:rPr>
              <w:t>середні нарахування              за 2016 рік</w:t>
            </w:r>
          </w:p>
        </w:tc>
        <w:tc>
          <w:tcPr>
            <w:tcW w:w="2835" w:type="dxa"/>
            <w:tcBorders>
              <w:top w:val="single" w:sz="4" w:space="0" w:color="auto"/>
              <w:left w:val="single" w:sz="4" w:space="0" w:color="auto"/>
              <w:bottom w:val="single" w:sz="4" w:space="0" w:color="auto"/>
              <w:right w:val="single" w:sz="4" w:space="0" w:color="auto"/>
            </w:tcBorders>
            <w:vAlign w:val="center"/>
            <w:hideMark/>
          </w:tcPr>
          <w:p w:rsidR="003162EE" w:rsidRDefault="003162EE">
            <w:pPr>
              <w:suppressAutoHyphens/>
              <w:jc w:val="center"/>
              <w:rPr>
                <w:sz w:val="28"/>
                <w:szCs w:val="28"/>
                <w:lang w:eastAsia="zh-CN"/>
              </w:rPr>
            </w:pPr>
            <w:r>
              <w:rPr>
                <w:sz w:val="28"/>
                <w:szCs w:val="28"/>
                <w:lang w:eastAsia="zh-CN"/>
              </w:rPr>
              <w:t>середні нарахування              за 2017 рік</w:t>
            </w:r>
          </w:p>
        </w:tc>
      </w:tr>
      <w:tr w:rsidR="003162EE" w:rsidTr="003162EE">
        <w:trPr>
          <w:trHeight w:val="297"/>
        </w:trPr>
        <w:tc>
          <w:tcPr>
            <w:tcW w:w="3961" w:type="dxa"/>
            <w:tcBorders>
              <w:top w:val="single" w:sz="4" w:space="0" w:color="auto"/>
              <w:left w:val="single" w:sz="4" w:space="0" w:color="auto"/>
              <w:bottom w:val="single" w:sz="4" w:space="0" w:color="auto"/>
              <w:right w:val="single" w:sz="4" w:space="0" w:color="auto"/>
            </w:tcBorders>
            <w:vAlign w:val="center"/>
            <w:hideMark/>
          </w:tcPr>
          <w:p w:rsidR="003162EE" w:rsidRDefault="003162EE">
            <w:pPr>
              <w:suppressAutoHyphens/>
              <w:rPr>
                <w:sz w:val="28"/>
                <w:szCs w:val="28"/>
                <w:lang w:eastAsia="zh-CN"/>
              </w:rPr>
            </w:pPr>
            <w:r>
              <w:rPr>
                <w:rFonts w:eastAsia="Arial11" w:cs="Times New Roman1"/>
                <w:sz w:val="28"/>
                <w:szCs w:val="28"/>
                <w:lang w:eastAsia="zh-CN" w:bidi="hi-IN"/>
              </w:rPr>
              <w:t>ПАТ «</w:t>
            </w:r>
            <w:proofErr w:type="spellStart"/>
            <w:r>
              <w:rPr>
                <w:rFonts w:eastAsia="Arial11" w:cs="Times New Roman1"/>
                <w:sz w:val="28"/>
                <w:szCs w:val="28"/>
                <w:lang w:eastAsia="zh-CN" w:bidi="hi-IN"/>
              </w:rPr>
              <w:t>Полтаваобленерго</w:t>
            </w:r>
            <w:proofErr w:type="spellEnd"/>
            <w:r>
              <w:rPr>
                <w:rFonts w:eastAsia="Arial11" w:cs="Times New Roman1"/>
                <w:sz w:val="28"/>
                <w:szCs w:val="28"/>
                <w:lang w:eastAsia="zh-CN" w:bidi="hi-IN"/>
              </w:rPr>
              <w:t>»</w:t>
            </w:r>
          </w:p>
        </w:tc>
        <w:tc>
          <w:tcPr>
            <w:tcW w:w="3093" w:type="dxa"/>
            <w:tcBorders>
              <w:top w:val="single" w:sz="4" w:space="0" w:color="auto"/>
              <w:left w:val="single" w:sz="4" w:space="0" w:color="auto"/>
              <w:bottom w:val="single" w:sz="4" w:space="0" w:color="auto"/>
              <w:right w:val="single" w:sz="4" w:space="0" w:color="auto"/>
            </w:tcBorders>
            <w:vAlign w:val="center"/>
            <w:hideMark/>
          </w:tcPr>
          <w:p w:rsidR="003162EE" w:rsidRDefault="003162EE">
            <w:pPr>
              <w:suppressAutoHyphens/>
              <w:jc w:val="center"/>
              <w:rPr>
                <w:sz w:val="28"/>
                <w:szCs w:val="28"/>
                <w:lang w:eastAsia="zh-CN"/>
              </w:rPr>
            </w:pPr>
            <w:r>
              <w:rPr>
                <w:sz w:val="28"/>
                <w:szCs w:val="28"/>
                <w:lang w:eastAsia="zh-CN"/>
              </w:rPr>
              <w:t>3 585,6</w:t>
            </w:r>
          </w:p>
        </w:tc>
        <w:tc>
          <w:tcPr>
            <w:tcW w:w="2835" w:type="dxa"/>
            <w:tcBorders>
              <w:top w:val="single" w:sz="4" w:space="0" w:color="auto"/>
              <w:left w:val="single" w:sz="4" w:space="0" w:color="auto"/>
              <w:bottom w:val="single" w:sz="4" w:space="0" w:color="auto"/>
              <w:right w:val="single" w:sz="4" w:space="0" w:color="auto"/>
            </w:tcBorders>
            <w:vAlign w:val="center"/>
            <w:hideMark/>
          </w:tcPr>
          <w:p w:rsidR="003162EE" w:rsidRDefault="003162EE">
            <w:pPr>
              <w:suppressAutoHyphens/>
              <w:jc w:val="center"/>
              <w:rPr>
                <w:sz w:val="28"/>
                <w:szCs w:val="28"/>
                <w:lang w:eastAsia="zh-CN"/>
              </w:rPr>
            </w:pPr>
            <w:r>
              <w:rPr>
                <w:sz w:val="28"/>
                <w:szCs w:val="28"/>
                <w:lang w:eastAsia="zh-CN"/>
              </w:rPr>
              <w:t>2 832,2</w:t>
            </w:r>
          </w:p>
        </w:tc>
      </w:tr>
      <w:tr w:rsidR="003162EE" w:rsidTr="003162EE">
        <w:trPr>
          <w:trHeight w:val="315"/>
        </w:trPr>
        <w:tc>
          <w:tcPr>
            <w:tcW w:w="3961" w:type="dxa"/>
            <w:tcBorders>
              <w:top w:val="single" w:sz="4" w:space="0" w:color="auto"/>
              <w:left w:val="single" w:sz="4" w:space="0" w:color="auto"/>
              <w:bottom w:val="single" w:sz="4" w:space="0" w:color="auto"/>
              <w:right w:val="single" w:sz="4" w:space="0" w:color="auto"/>
            </w:tcBorders>
            <w:vAlign w:val="center"/>
            <w:hideMark/>
          </w:tcPr>
          <w:p w:rsidR="003162EE" w:rsidRDefault="003162EE">
            <w:pPr>
              <w:suppressAutoHyphens/>
              <w:rPr>
                <w:sz w:val="28"/>
                <w:szCs w:val="28"/>
                <w:lang w:eastAsia="zh-CN"/>
              </w:rPr>
            </w:pPr>
            <w:r>
              <w:rPr>
                <w:rFonts w:eastAsia="Arial11" w:cs="Times New Roman1"/>
                <w:sz w:val="28"/>
                <w:szCs w:val="28"/>
                <w:lang w:eastAsia="zh-CN" w:bidi="hi-IN"/>
              </w:rPr>
              <w:t>ПАТ «Укртатнафта»</w:t>
            </w:r>
          </w:p>
        </w:tc>
        <w:tc>
          <w:tcPr>
            <w:tcW w:w="3093" w:type="dxa"/>
            <w:tcBorders>
              <w:top w:val="single" w:sz="4" w:space="0" w:color="auto"/>
              <w:left w:val="single" w:sz="4" w:space="0" w:color="auto"/>
              <w:bottom w:val="single" w:sz="4" w:space="0" w:color="auto"/>
              <w:right w:val="single" w:sz="4" w:space="0" w:color="auto"/>
            </w:tcBorders>
            <w:vAlign w:val="center"/>
            <w:hideMark/>
          </w:tcPr>
          <w:p w:rsidR="003162EE" w:rsidRDefault="003162EE">
            <w:pPr>
              <w:suppressAutoHyphens/>
              <w:jc w:val="center"/>
              <w:rPr>
                <w:sz w:val="28"/>
                <w:szCs w:val="28"/>
                <w:lang w:eastAsia="zh-CN"/>
              </w:rPr>
            </w:pPr>
            <w:r>
              <w:rPr>
                <w:sz w:val="28"/>
                <w:szCs w:val="28"/>
                <w:lang w:eastAsia="zh-CN"/>
              </w:rPr>
              <w:t>1 717,5</w:t>
            </w:r>
          </w:p>
        </w:tc>
        <w:tc>
          <w:tcPr>
            <w:tcW w:w="2835" w:type="dxa"/>
            <w:tcBorders>
              <w:top w:val="single" w:sz="4" w:space="0" w:color="auto"/>
              <w:left w:val="single" w:sz="4" w:space="0" w:color="auto"/>
              <w:bottom w:val="single" w:sz="4" w:space="0" w:color="auto"/>
              <w:right w:val="single" w:sz="4" w:space="0" w:color="auto"/>
            </w:tcBorders>
            <w:vAlign w:val="center"/>
            <w:hideMark/>
          </w:tcPr>
          <w:p w:rsidR="003162EE" w:rsidRDefault="003162EE">
            <w:pPr>
              <w:suppressAutoHyphens/>
              <w:jc w:val="center"/>
              <w:rPr>
                <w:sz w:val="28"/>
                <w:szCs w:val="28"/>
                <w:lang w:eastAsia="zh-CN"/>
              </w:rPr>
            </w:pPr>
            <w:r>
              <w:rPr>
                <w:sz w:val="28"/>
                <w:szCs w:val="28"/>
                <w:lang w:eastAsia="zh-CN"/>
              </w:rPr>
              <w:t>1 537,0</w:t>
            </w:r>
          </w:p>
        </w:tc>
      </w:tr>
    </w:tbl>
    <w:p w:rsidR="003162EE" w:rsidRDefault="003162EE" w:rsidP="003162EE">
      <w:pPr>
        <w:suppressAutoHyphens/>
        <w:ind w:firstLine="702"/>
        <w:jc w:val="both"/>
        <w:rPr>
          <w:color w:val="FF0000"/>
          <w:lang w:eastAsia="zh-CN"/>
        </w:rPr>
      </w:pPr>
    </w:p>
    <w:p w:rsidR="003162EE" w:rsidRDefault="003162EE" w:rsidP="003162EE">
      <w:pPr>
        <w:ind w:firstLine="709"/>
        <w:jc w:val="both"/>
        <w:rPr>
          <w:sz w:val="28"/>
          <w:szCs w:val="28"/>
          <w:lang w:eastAsia="ru-RU"/>
        </w:rPr>
      </w:pPr>
      <w:r>
        <w:rPr>
          <w:sz w:val="28"/>
          <w:szCs w:val="28"/>
        </w:rPr>
        <w:t xml:space="preserve">По цільових фондах, утворених органами місцевого самоврядування та місцевими органами виконавчої влади, виконання уточненого річного плану склало 141,0% при плані 561,7 </w:t>
      </w:r>
      <w:proofErr w:type="spellStart"/>
      <w:r>
        <w:rPr>
          <w:sz w:val="28"/>
          <w:szCs w:val="28"/>
        </w:rPr>
        <w:t>тис.грн</w:t>
      </w:r>
      <w:proofErr w:type="spellEnd"/>
      <w:r>
        <w:rPr>
          <w:sz w:val="28"/>
          <w:szCs w:val="28"/>
        </w:rPr>
        <w:t xml:space="preserve">. фактично отримано  792,1 </w:t>
      </w:r>
      <w:proofErr w:type="spellStart"/>
      <w:r>
        <w:rPr>
          <w:sz w:val="28"/>
          <w:szCs w:val="28"/>
        </w:rPr>
        <w:t>тис.грн</w:t>
      </w:r>
      <w:proofErr w:type="spellEnd"/>
      <w:r>
        <w:rPr>
          <w:sz w:val="28"/>
          <w:szCs w:val="28"/>
        </w:rPr>
        <w:t xml:space="preserve">. /+/ 230,4 </w:t>
      </w:r>
      <w:proofErr w:type="spellStart"/>
      <w:r>
        <w:rPr>
          <w:sz w:val="28"/>
          <w:szCs w:val="28"/>
        </w:rPr>
        <w:t>тис.грн</w:t>
      </w:r>
      <w:proofErr w:type="spellEnd"/>
      <w:r>
        <w:rPr>
          <w:sz w:val="28"/>
          <w:szCs w:val="28"/>
        </w:rPr>
        <w:t>.</w:t>
      </w:r>
    </w:p>
    <w:p w:rsidR="003162EE" w:rsidRDefault="003162EE" w:rsidP="003162EE">
      <w:pPr>
        <w:pStyle w:val="1e1e41413d3d3e3e32323d3d3e3e3939424235353a3a41414242"/>
        <w:ind w:firstLine="709"/>
        <w:jc w:val="both"/>
        <w:rPr>
          <w:kern w:val="0"/>
          <w:sz w:val="28"/>
          <w:szCs w:val="28"/>
        </w:rPr>
      </w:pPr>
      <w:r>
        <w:rPr>
          <w:kern w:val="0"/>
          <w:sz w:val="28"/>
          <w:szCs w:val="28"/>
        </w:rPr>
        <w:t xml:space="preserve">Надходження відсотків за користування довгостроковим кредитом, що надається з місцевих бюджетів молодим сім'ям та одиноким молодим громадянам на будівництво (реконструкцію) та придбання житла склали            28,0 </w:t>
      </w:r>
      <w:proofErr w:type="spellStart"/>
      <w:r>
        <w:rPr>
          <w:kern w:val="0"/>
          <w:sz w:val="28"/>
          <w:szCs w:val="28"/>
        </w:rPr>
        <w:t>тис.грн</w:t>
      </w:r>
      <w:proofErr w:type="spellEnd"/>
      <w:r>
        <w:rPr>
          <w:kern w:val="0"/>
          <w:sz w:val="28"/>
          <w:szCs w:val="28"/>
        </w:rPr>
        <w:t>. при такому ж плані.</w:t>
      </w:r>
    </w:p>
    <w:p w:rsidR="003162EE" w:rsidRDefault="003162EE" w:rsidP="003162EE">
      <w:pPr>
        <w:pStyle w:val="1e1e41413d3d3e3e32323d3d3e3e3939424235353a3a41414242"/>
        <w:ind w:firstLine="709"/>
        <w:jc w:val="both"/>
        <w:rPr>
          <w:sz w:val="28"/>
          <w:szCs w:val="28"/>
        </w:rPr>
      </w:pPr>
      <w:r>
        <w:rPr>
          <w:sz w:val="28"/>
          <w:szCs w:val="28"/>
        </w:rPr>
        <w:t xml:space="preserve">Без плану надійшли грошові стягнення за шкоду, заподіяну порушенням законодавства про охорону навколишнього природного середовища внаслідок господарської та іншої діяльності  на суму 36,0 </w:t>
      </w:r>
      <w:proofErr w:type="spellStart"/>
      <w:r>
        <w:rPr>
          <w:sz w:val="28"/>
          <w:szCs w:val="28"/>
        </w:rPr>
        <w:t>тис.грн</w:t>
      </w:r>
      <w:proofErr w:type="spellEnd"/>
      <w:r>
        <w:rPr>
          <w:sz w:val="28"/>
          <w:szCs w:val="28"/>
        </w:rPr>
        <w:t>.</w:t>
      </w:r>
    </w:p>
    <w:p w:rsidR="003162EE" w:rsidRDefault="003162EE" w:rsidP="003162EE">
      <w:pPr>
        <w:pStyle w:val="1e1e41413d3d3e3e32323d3d3e3e3939424235353a3a41414242"/>
        <w:ind w:firstLine="709"/>
        <w:jc w:val="both"/>
        <w:rPr>
          <w:sz w:val="28"/>
          <w:szCs w:val="28"/>
        </w:rPr>
      </w:pPr>
      <w:r>
        <w:rPr>
          <w:sz w:val="28"/>
          <w:szCs w:val="28"/>
        </w:rPr>
        <w:t>Слід зазначити, що в 2017 році здійснювалося повернення надміру сплаченого збору</w:t>
      </w:r>
      <w:r>
        <w:t xml:space="preserve"> </w:t>
      </w:r>
      <w:r>
        <w:rPr>
          <w:sz w:val="28"/>
          <w:szCs w:val="28"/>
        </w:rPr>
        <w:t xml:space="preserve">за провадження торговельної діяльності нафтопродуктами, скрапленим та стиснутим газом на стаціонарних, малогабаритних і пересувних автозаправних станціях, заправних пунктах, що справлявся до 1 січня </w:t>
      </w:r>
      <w:r w:rsidR="000B2051">
        <w:rPr>
          <w:sz w:val="28"/>
          <w:szCs w:val="28"/>
        </w:rPr>
        <w:t xml:space="preserve">                  </w:t>
      </w:r>
      <w:r>
        <w:rPr>
          <w:sz w:val="28"/>
          <w:szCs w:val="28"/>
        </w:rPr>
        <w:t xml:space="preserve">2015 року. Сума повернення за 2017 рік склала  /-/ 11,6 </w:t>
      </w:r>
      <w:proofErr w:type="spellStart"/>
      <w:r>
        <w:rPr>
          <w:sz w:val="28"/>
          <w:szCs w:val="28"/>
        </w:rPr>
        <w:t>тис.грн</w:t>
      </w:r>
      <w:proofErr w:type="spellEnd"/>
      <w:r>
        <w:rPr>
          <w:sz w:val="28"/>
          <w:szCs w:val="28"/>
        </w:rPr>
        <w:t>.</w:t>
      </w:r>
    </w:p>
    <w:p w:rsidR="003162EE" w:rsidRDefault="003162EE" w:rsidP="003162EE">
      <w:pPr>
        <w:ind w:firstLine="709"/>
        <w:jc w:val="both"/>
        <w:rPr>
          <w:iCs/>
          <w:sz w:val="28"/>
          <w:szCs w:val="28"/>
        </w:rPr>
      </w:pPr>
      <w:r>
        <w:rPr>
          <w:sz w:val="28"/>
          <w:szCs w:val="28"/>
        </w:rPr>
        <w:t>В місті постійно здійснювались відповідні заходи щодо наповнення доходної частини міського бюджету та виконання запланованих показників. Вживались заходи, спрямовані на скорочення податкового боргу.</w:t>
      </w:r>
    </w:p>
    <w:p w:rsidR="003162EE" w:rsidRDefault="003162EE" w:rsidP="003162EE">
      <w:pPr>
        <w:ind w:firstLine="709"/>
        <w:jc w:val="both"/>
        <w:rPr>
          <w:color w:val="FF0000"/>
          <w:sz w:val="28"/>
          <w:szCs w:val="28"/>
        </w:rPr>
      </w:pPr>
    </w:p>
    <w:p w:rsidR="003162EE" w:rsidRDefault="003162EE" w:rsidP="003162EE">
      <w:pPr>
        <w:pStyle w:val="a3"/>
        <w:rPr>
          <w:szCs w:val="28"/>
        </w:rPr>
      </w:pPr>
      <w:r>
        <w:rPr>
          <w:szCs w:val="28"/>
        </w:rPr>
        <w:t>ВИДАТКИ</w:t>
      </w:r>
    </w:p>
    <w:p w:rsidR="003162EE" w:rsidRDefault="003162EE" w:rsidP="003162EE">
      <w:pPr>
        <w:pStyle w:val="a3"/>
        <w:ind w:firstLine="709"/>
        <w:jc w:val="both"/>
        <w:rPr>
          <w:b w:val="0"/>
          <w:i/>
          <w:szCs w:val="28"/>
        </w:rPr>
      </w:pPr>
    </w:p>
    <w:p w:rsidR="003162EE" w:rsidRDefault="003162EE" w:rsidP="003162EE">
      <w:pPr>
        <w:ind w:firstLine="709"/>
        <w:jc w:val="both"/>
        <w:rPr>
          <w:sz w:val="28"/>
          <w:szCs w:val="28"/>
          <w:lang w:eastAsia="x-none"/>
        </w:rPr>
      </w:pPr>
      <w:r>
        <w:rPr>
          <w:sz w:val="28"/>
          <w:szCs w:val="28"/>
          <w:lang w:eastAsia="x-none"/>
        </w:rPr>
        <w:t xml:space="preserve">Видатки бюджету міста на 2017 рік були затверджені в обсязі                 1 903 573,3  тис. грн.,  в тому числі: загальний фонд – 1 749 437,9 тис. грн., </w:t>
      </w:r>
      <w:r>
        <w:rPr>
          <w:sz w:val="28"/>
          <w:szCs w:val="28"/>
          <w:lang w:eastAsia="x-none"/>
        </w:rPr>
        <w:lastRenderedPageBreak/>
        <w:t>спеціальний фонд – 154 135,3 тис. грн., з них бюджет розвитку –                        111 864,2 тис. грн. Видатки на кредитування по спеціальному фонду були передбачені в сумі 2 343,6 тис. грн.</w:t>
      </w:r>
    </w:p>
    <w:p w:rsidR="003162EE" w:rsidRDefault="003162EE" w:rsidP="003162EE">
      <w:pPr>
        <w:pStyle w:val="a3"/>
        <w:ind w:firstLine="709"/>
        <w:jc w:val="both"/>
        <w:rPr>
          <w:b w:val="0"/>
          <w:szCs w:val="28"/>
        </w:rPr>
      </w:pPr>
    </w:p>
    <w:p w:rsidR="003162EE" w:rsidRDefault="003162EE" w:rsidP="003162EE">
      <w:pPr>
        <w:pStyle w:val="a3"/>
        <w:ind w:firstLine="709"/>
        <w:jc w:val="both"/>
        <w:rPr>
          <w:b w:val="0"/>
          <w:szCs w:val="28"/>
        </w:rPr>
      </w:pPr>
      <w:r>
        <w:rPr>
          <w:b w:val="0"/>
          <w:szCs w:val="28"/>
        </w:rPr>
        <w:t xml:space="preserve">Протягом поточного року видатки </w:t>
      </w:r>
      <w:r>
        <w:rPr>
          <w:szCs w:val="28"/>
        </w:rPr>
        <w:t>загального фонду</w:t>
      </w:r>
      <w:r>
        <w:rPr>
          <w:b w:val="0"/>
          <w:szCs w:val="28"/>
        </w:rPr>
        <w:t xml:space="preserve">  були збільшені на            374 513,8 тис. грн., в </w:t>
      </w:r>
      <w:proofErr w:type="spellStart"/>
      <w:r>
        <w:rPr>
          <w:b w:val="0"/>
          <w:szCs w:val="28"/>
        </w:rPr>
        <w:t>т.ч</w:t>
      </w:r>
      <w:proofErr w:type="spellEnd"/>
      <w:r>
        <w:rPr>
          <w:b w:val="0"/>
          <w:szCs w:val="28"/>
        </w:rPr>
        <w:t>:</w:t>
      </w:r>
    </w:p>
    <w:p w:rsidR="003162EE" w:rsidRDefault="003162EE" w:rsidP="003162EE">
      <w:pPr>
        <w:pStyle w:val="a3"/>
        <w:ind w:firstLine="709"/>
        <w:jc w:val="both"/>
        <w:rPr>
          <w:b w:val="0"/>
          <w:szCs w:val="28"/>
        </w:rPr>
      </w:pPr>
      <w:r>
        <w:rPr>
          <w:b w:val="0"/>
          <w:szCs w:val="28"/>
        </w:rPr>
        <w:t>- за рахунок затвердження дефіциту бюджету  (виділення коштів за рахунок вільного залишку бюджетних коштів) збільшення видатків відбулося на  32 754,7 тис. грн.;</w:t>
      </w:r>
    </w:p>
    <w:p w:rsidR="003162EE" w:rsidRDefault="003162EE" w:rsidP="003162EE">
      <w:pPr>
        <w:pStyle w:val="a3"/>
        <w:ind w:firstLine="709"/>
        <w:jc w:val="both"/>
        <w:rPr>
          <w:b w:val="0"/>
          <w:szCs w:val="28"/>
        </w:rPr>
      </w:pPr>
      <w:r>
        <w:rPr>
          <w:b w:val="0"/>
          <w:szCs w:val="28"/>
        </w:rPr>
        <w:t>- внесення змін до доходів бюджету – 82 401,5 тис. грн.;</w:t>
      </w:r>
    </w:p>
    <w:p w:rsidR="003162EE" w:rsidRDefault="003162EE" w:rsidP="003162EE">
      <w:pPr>
        <w:pStyle w:val="a3"/>
        <w:ind w:firstLine="709"/>
        <w:jc w:val="both"/>
        <w:rPr>
          <w:b w:val="0"/>
          <w:szCs w:val="28"/>
        </w:rPr>
      </w:pPr>
      <w:r>
        <w:rPr>
          <w:b w:val="0"/>
          <w:szCs w:val="28"/>
        </w:rPr>
        <w:t xml:space="preserve">- трансферти з державного бюджету були збільшені на </w:t>
      </w:r>
      <w:r w:rsidR="000B2051">
        <w:rPr>
          <w:b w:val="0"/>
          <w:szCs w:val="28"/>
        </w:rPr>
        <w:t xml:space="preserve">                            </w:t>
      </w:r>
      <w:r>
        <w:rPr>
          <w:b w:val="0"/>
          <w:szCs w:val="28"/>
        </w:rPr>
        <w:t>247 809,9 тис. грн.;</w:t>
      </w:r>
    </w:p>
    <w:p w:rsidR="003162EE" w:rsidRDefault="003162EE" w:rsidP="003162EE">
      <w:pPr>
        <w:pStyle w:val="a3"/>
        <w:ind w:firstLine="709"/>
        <w:jc w:val="both"/>
        <w:rPr>
          <w:b w:val="0"/>
          <w:szCs w:val="28"/>
        </w:rPr>
      </w:pPr>
      <w:r>
        <w:rPr>
          <w:b w:val="0"/>
          <w:szCs w:val="28"/>
        </w:rPr>
        <w:t>- за рахунок зменшення передачі із загального до спеціального фонду загальний фонд було збільшено на 11 547,7 тис. грн.</w:t>
      </w:r>
    </w:p>
    <w:p w:rsidR="003162EE" w:rsidRDefault="003162EE" w:rsidP="003162EE">
      <w:pPr>
        <w:pStyle w:val="a3"/>
        <w:ind w:firstLine="709"/>
        <w:jc w:val="both"/>
        <w:rPr>
          <w:b w:val="0"/>
          <w:szCs w:val="28"/>
        </w:rPr>
      </w:pPr>
    </w:p>
    <w:p w:rsidR="003162EE" w:rsidRDefault="003162EE" w:rsidP="003162EE">
      <w:pPr>
        <w:pStyle w:val="a3"/>
        <w:ind w:firstLine="709"/>
        <w:jc w:val="both"/>
        <w:rPr>
          <w:b w:val="0"/>
          <w:szCs w:val="28"/>
        </w:rPr>
      </w:pPr>
      <w:r>
        <w:rPr>
          <w:b w:val="0"/>
          <w:szCs w:val="28"/>
        </w:rPr>
        <w:t xml:space="preserve">Затверджені видатки </w:t>
      </w:r>
      <w:r>
        <w:rPr>
          <w:szCs w:val="28"/>
        </w:rPr>
        <w:t>спеціального фонду</w:t>
      </w:r>
      <w:r>
        <w:rPr>
          <w:b w:val="0"/>
          <w:szCs w:val="28"/>
        </w:rPr>
        <w:t xml:space="preserve"> були збільшені на                    273 261,7 тис. грн., в </w:t>
      </w:r>
      <w:proofErr w:type="spellStart"/>
      <w:r>
        <w:rPr>
          <w:b w:val="0"/>
          <w:szCs w:val="28"/>
        </w:rPr>
        <w:t>т.ч</w:t>
      </w:r>
      <w:proofErr w:type="spellEnd"/>
      <w:r>
        <w:rPr>
          <w:b w:val="0"/>
          <w:szCs w:val="28"/>
        </w:rPr>
        <w:t>.:</w:t>
      </w:r>
    </w:p>
    <w:p w:rsidR="003162EE" w:rsidRDefault="003162EE" w:rsidP="003162EE">
      <w:pPr>
        <w:pStyle w:val="a3"/>
        <w:ind w:firstLine="709"/>
        <w:jc w:val="both"/>
        <w:rPr>
          <w:szCs w:val="28"/>
        </w:rPr>
      </w:pPr>
      <w:r>
        <w:rPr>
          <w:b w:val="0"/>
          <w:szCs w:val="28"/>
        </w:rPr>
        <w:t>- за рахунок затвердження дефіциту бюджету  - 112 600,3 тис. грн.,</w:t>
      </w:r>
      <w:r>
        <w:rPr>
          <w:szCs w:val="28"/>
        </w:rPr>
        <w:t xml:space="preserve"> </w:t>
      </w:r>
    </w:p>
    <w:p w:rsidR="003162EE" w:rsidRDefault="003162EE" w:rsidP="003162EE">
      <w:pPr>
        <w:ind w:firstLine="709"/>
        <w:jc w:val="both"/>
        <w:rPr>
          <w:sz w:val="28"/>
          <w:szCs w:val="28"/>
        </w:rPr>
      </w:pPr>
      <w:r>
        <w:rPr>
          <w:sz w:val="28"/>
          <w:szCs w:val="28"/>
        </w:rPr>
        <w:t>- внесення змін до доходів бюджету – 73 822,6 тис. грн.</w:t>
      </w:r>
    </w:p>
    <w:p w:rsidR="003162EE" w:rsidRDefault="003162EE" w:rsidP="003162EE">
      <w:pPr>
        <w:ind w:firstLine="709"/>
        <w:jc w:val="both"/>
        <w:rPr>
          <w:sz w:val="28"/>
          <w:szCs w:val="28"/>
        </w:rPr>
      </w:pPr>
      <w:r>
        <w:rPr>
          <w:sz w:val="28"/>
          <w:szCs w:val="28"/>
        </w:rPr>
        <w:t xml:space="preserve">- трансферти з державного бюджету були збільшені на 98 386,5 тис. грн.,  </w:t>
      </w:r>
    </w:p>
    <w:p w:rsidR="003162EE" w:rsidRDefault="003162EE" w:rsidP="003162EE">
      <w:pPr>
        <w:ind w:firstLine="709"/>
        <w:jc w:val="both"/>
        <w:rPr>
          <w:sz w:val="28"/>
          <w:szCs w:val="28"/>
        </w:rPr>
      </w:pPr>
      <w:r>
        <w:rPr>
          <w:sz w:val="28"/>
          <w:szCs w:val="28"/>
        </w:rPr>
        <w:t>- за рахунок передачі із загального до спеціального фонду зменшені на                  11 547,7  тис. грн.</w:t>
      </w:r>
    </w:p>
    <w:p w:rsidR="003162EE" w:rsidRDefault="003162EE" w:rsidP="003162EE">
      <w:pPr>
        <w:ind w:firstLine="709"/>
        <w:jc w:val="both"/>
        <w:rPr>
          <w:sz w:val="28"/>
          <w:szCs w:val="28"/>
        </w:rPr>
      </w:pPr>
      <w:r>
        <w:rPr>
          <w:sz w:val="28"/>
          <w:szCs w:val="28"/>
        </w:rPr>
        <w:t xml:space="preserve">Кошторисні призначення бюджетних установ також були збільшені і за рахунок збільшення власних надходжень. </w:t>
      </w:r>
    </w:p>
    <w:p w:rsidR="003162EE" w:rsidRDefault="003162EE" w:rsidP="003162EE">
      <w:pPr>
        <w:pStyle w:val="FR1"/>
        <w:tabs>
          <w:tab w:val="left" w:pos="1440"/>
        </w:tabs>
        <w:suppressAutoHyphens/>
        <w:spacing w:line="240" w:lineRule="auto"/>
        <w:ind w:firstLine="709"/>
        <w:jc w:val="both"/>
        <w:rPr>
          <w:szCs w:val="28"/>
        </w:rPr>
      </w:pPr>
      <w:r>
        <w:rPr>
          <w:szCs w:val="28"/>
        </w:rPr>
        <w:t>Таким чином кошторисні призначення на 2017 рік з урахуванням внесених змін складають 2 561 862,8 тис. грн. (таблиця 1), в тому числі:</w:t>
      </w:r>
    </w:p>
    <w:p w:rsidR="003162EE" w:rsidRDefault="003162EE" w:rsidP="003162EE">
      <w:pPr>
        <w:pStyle w:val="FR1"/>
        <w:tabs>
          <w:tab w:val="num" w:pos="1260"/>
        </w:tabs>
        <w:suppressAutoHyphens/>
        <w:spacing w:line="240" w:lineRule="auto"/>
        <w:ind w:firstLine="709"/>
        <w:jc w:val="both"/>
        <w:rPr>
          <w:szCs w:val="28"/>
        </w:rPr>
      </w:pPr>
      <w:r>
        <w:rPr>
          <w:szCs w:val="28"/>
        </w:rPr>
        <w:t xml:space="preserve">- видатки загального фонду міського бюджету затверджені в сумі                      2 123 951,7  тис. грн. </w:t>
      </w:r>
    </w:p>
    <w:p w:rsidR="003162EE" w:rsidRDefault="003162EE" w:rsidP="003162EE">
      <w:pPr>
        <w:pStyle w:val="FR1"/>
        <w:tabs>
          <w:tab w:val="num" w:pos="1260"/>
        </w:tabs>
        <w:suppressAutoHyphens/>
        <w:spacing w:line="240" w:lineRule="auto"/>
        <w:ind w:firstLine="709"/>
        <w:jc w:val="both"/>
        <w:rPr>
          <w:szCs w:val="28"/>
        </w:rPr>
      </w:pPr>
      <w:r>
        <w:rPr>
          <w:szCs w:val="28"/>
        </w:rPr>
        <w:t>- кошторисні призначення на рік з урахуванням внесених змін по спеціальному фонду складають 437 911,1 тис. грн., в тому числі бюджет розвитку – 316 111,8 тис. грн.</w:t>
      </w:r>
    </w:p>
    <w:p w:rsidR="003162EE" w:rsidRDefault="003162EE" w:rsidP="003162EE">
      <w:pPr>
        <w:pStyle w:val="FR1"/>
        <w:tabs>
          <w:tab w:val="num" w:pos="1260"/>
        </w:tabs>
        <w:suppressAutoHyphens/>
        <w:spacing w:line="240" w:lineRule="auto"/>
        <w:ind w:firstLine="709"/>
        <w:jc w:val="both"/>
        <w:rPr>
          <w:szCs w:val="28"/>
        </w:rPr>
      </w:pPr>
    </w:p>
    <w:p w:rsidR="003162EE" w:rsidRDefault="003162EE" w:rsidP="003162EE">
      <w:pPr>
        <w:pStyle w:val="FR1"/>
        <w:tabs>
          <w:tab w:val="num" w:pos="1260"/>
        </w:tabs>
        <w:suppressAutoHyphens/>
        <w:spacing w:line="240" w:lineRule="auto"/>
        <w:ind w:firstLine="709"/>
        <w:jc w:val="both"/>
        <w:rPr>
          <w:szCs w:val="28"/>
        </w:rPr>
      </w:pPr>
      <w:r>
        <w:rPr>
          <w:szCs w:val="28"/>
        </w:rPr>
        <w:t xml:space="preserve">Касові видатки по </w:t>
      </w:r>
      <w:r>
        <w:rPr>
          <w:b/>
          <w:szCs w:val="28"/>
        </w:rPr>
        <w:t>загальному фонду</w:t>
      </w:r>
      <w:r>
        <w:rPr>
          <w:szCs w:val="28"/>
        </w:rPr>
        <w:t xml:space="preserve"> міського бюджету станом на 01.01.2018  склали 2 052 416,7 тис. грн., (касові видатки взяті зі звіту, наданого управлінням державної казначейської служби України у м. Кременчук Полтавської області) при уточненому плані 2 123 951,7 тис. грн., тобто 96,6%. </w:t>
      </w:r>
    </w:p>
    <w:p w:rsidR="003162EE" w:rsidRDefault="003162EE" w:rsidP="003162EE">
      <w:pPr>
        <w:pStyle w:val="FR1"/>
        <w:tabs>
          <w:tab w:val="left" w:pos="1440"/>
        </w:tabs>
        <w:suppressAutoHyphens/>
        <w:spacing w:line="240" w:lineRule="auto"/>
        <w:jc w:val="both"/>
        <w:rPr>
          <w:szCs w:val="28"/>
        </w:rPr>
      </w:pPr>
      <w:r>
        <w:rPr>
          <w:szCs w:val="28"/>
        </w:rPr>
        <w:t>Структура виконання бюджету  м. Кременчука по загальному фонду за 2017 рік по основним галузям представлена у вигляді діаграми.</w:t>
      </w:r>
    </w:p>
    <w:p w:rsidR="003162EE" w:rsidRDefault="003162EE" w:rsidP="003162EE">
      <w:pPr>
        <w:pStyle w:val="FR1"/>
        <w:tabs>
          <w:tab w:val="left" w:pos="1440"/>
        </w:tabs>
        <w:suppressAutoHyphens/>
        <w:spacing w:line="240" w:lineRule="auto"/>
        <w:ind w:firstLine="709"/>
        <w:jc w:val="both"/>
        <w:rPr>
          <w:szCs w:val="28"/>
        </w:rPr>
      </w:pPr>
      <w:r>
        <w:rPr>
          <w:szCs w:val="28"/>
        </w:rPr>
        <w:t>Реверсна дотація передбачена на рік в сумі 41 659,3 тис. грн. За звітний рік були вилучені кошти в повному обсязі.</w:t>
      </w:r>
    </w:p>
    <w:p w:rsidR="003162EE" w:rsidRDefault="003162EE" w:rsidP="003162EE">
      <w:pPr>
        <w:pStyle w:val="FR1"/>
        <w:spacing w:line="240" w:lineRule="auto"/>
        <w:ind w:firstLine="709"/>
        <w:jc w:val="both"/>
        <w:rPr>
          <w:szCs w:val="28"/>
        </w:rPr>
      </w:pPr>
    </w:p>
    <w:p w:rsidR="003162EE" w:rsidRDefault="003162EE" w:rsidP="003162EE">
      <w:pPr>
        <w:pStyle w:val="FR1"/>
        <w:spacing w:line="240" w:lineRule="auto"/>
        <w:ind w:firstLine="709"/>
        <w:jc w:val="both"/>
        <w:rPr>
          <w:szCs w:val="28"/>
        </w:rPr>
      </w:pPr>
      <w:r>
        <w:rPr>
          <w:szCs w:val="28"/>
        </w:rPr>
        <w:t xml:space="preserve">За рахунок </w:t>
      </w:r>
      <w:r>
        <w:rPr>
          <w:b/>
          <w:szCs w:val="28"/>
        </w:rPr>
        <w:t>резервного  фонду</w:t>
      </w:r>
      <w:r>
        <w:rPr>
          <w:szCs w:val="28"/>
        </w:rPr>
        <w:t xml:space="preserve"> з міського бюджету за 2017  рік виділено </w:t>
      </w:r>
      <w:r>
        <w:rPr>
          <w:szCs w:val="28"/>
          <w:lang w:val="ru-RU"/>
        </w:rPr>
        <w:t>17,7</w:t>
      </w:r>
      <w:r>
        <w:rPr>
          <w:szCs w:val="28"/>
        </w:rPr>
        <w:t xml:space="preserve"> тис. грн.,  профінансовано 17,7 тис. грн.</w:t>
      </w:r>
    </w:p>
    <w:p w:rsidR="003162EE" w:rsidRDefault="003162EE" w:rsidP="003162EE">
      <w:pPr>
        <w:pStyle w:val="FR1"/>
        <w:tabs>
          <w:tab w:val="left" w:pos="1440"/>
        </w:tabs>
        <w:suppressAutoHyphens/>
        <w:spacing w:line="240" w:lineRule="auto"/>
        <w:ind w:firstLine="0"/>
        <w:jc w:val="both"/>
        <w:rPr>
          <w:noProof/>
          <w:szCs w:val="28"/>
        </w:rPr>
      </w:pPr>
      <w:r>
        <w:rPr>
          <w:noProof/>
          <w:lang w:val="ru-RU"/>
        </w:rPr>
        <w:lastRenderedPageBreak/>
        <w:drawing>
          <wp:inline distT="0" distB="0" distL="0" distR="0">
            <wp:extent cx="6121400" cy="3124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1400" cy="3124200"/>
                    </a:xfrm>
                    <a:prstGeom prst="rect">
                      <a:avLst/>
                    </a:prstGeom>
                    <a:noFill/>
                    <a:ln>
                      <a:noFill/>
                    </a:ln>
                  </pic:spPr>
                </pic:pic>
              </a:graphicData>
            </a:graphic>
          </wp:inline>
        </w:drawing>
      </w:r>
    </w:p>
    <w:p w:rsidR="003162EE" w:rsidRDefault="003162EE" w:rsidP="003162EE">
      <w:pPr>
        <w:widowControl w:val="0"/>
        <w:tabs>
          <w:tab w:val="left" w:pos="1440"/>
        </w:tabs>
        <w:suppressAutoHyphens/>
        <w:ind w:firstLine="680"/>
        <w:jc w:val="both"/>
        <w:rPr>
          <w:sz w:val="28"/>
          <w:szCs w:val="28"/>
          <w:lang w:eastAsia="ru-RU"/>
        </w:rPr>
      </w:pPr>
      <w:r>
        <w:rPr>
          <w:sz w:val="28"/>
          <w:szCs w:val="28"/>
          <w:lang w:eastAsia="ru-RU"/>
        </w:rPr>
        <w:t xml:space="preserve">Видатки загального фонду на оплату праці і нарахування на заробітну плату працівникам бюджетної сфери (з урахуванням видатків згідно планів використання по галузі «Охорона здоров’я») при уточненому плані на рік </w:t>
      </w:r>
      <w:r w:rsidR="000B2051">
        <w:rPr>
          <w:sz w:val="28"/>
          <w:szCs w:val="28"/>
          <w:lang w:eastAsia="ru-RU"/>
        </w:rPr>
        <w:t xml:space="preserve">               </w:t>
      </w:r>
      <w:r>
        <w:rPr>
          <w:sz w:val="28"/>
          <w:szCs w:val="28"/>
          <w:lang w:eastAsia="ru-RU"/>
        </w:rPr>
        <w:t xml:space="preserve">785 973,6 тис. грн. за звітний період склали 785 353,5 тис. грн., тобто 99,9%. Питома вага видатків на заробітну плата з нарахуваннями в </w:t>
      </w:r>
      <w:proofErr w:type="spellStart"/>
      <w:r>
        <w:rPr>
          <w:sz w:val="28"/>
          <w:szCs w:val="28"/>
          <w:lang w:eastAsia="ru-RU"/>
        </w:rPr>
        <w:t>загальнобюджетних</w:t>
      </w:r>
      <w:proofErr w:type="spellEnd"/>
      <w:r>
        <w:rPr>
          <w:sz w:val="28"/>
          <w:szCs w:val="28"/>
          <w:lang w:eastAsia="ru-RU"/>
        </w:rPr>
        <w:t xml:space="preserve"> видатках складає 38,3%. Заборгованість по виплаті заробітної плати з нарахуваннями працівникам бюджетних установ станом  на 01.01.2018 відсутня. </w:t>
      </w:r>
    </w:p>
    <w:p w:rsidR="003162EE" w:rsidRDefault="003162EE" w:rsidP="003162EE">
      <w:pPr>
        <w:widowControl w:val="0"/>
        <w:tabs>
          <w:tab w:val="left" w:pos="1440"/>
        </w:tabs>
        <w:suppressAutoHyphens/>
        <w:ind w:firstLine="680"/>
        <w:jc w:val="both"/>
        <w:rPr>
          <w:sz w:val="28"/>
          <w:szCs w:val="28"/>
          <w:lang w:eastAsia="ru-RU"/>
        </w:rPr>
      </w:pPr>
      <w:r>
        <w:rPr>
          <w:sz w:val="28"/>
          <w:szCs w:val="28"/>
          <w:lang w:eastAsia="ru-RU"/>
        </w:rPr>
        <w:t xml:space="preserve">Видатки на медикаменти при уточненому плані на рік (з урахуванням видатків згідно планів використання по галузі «Охорона здоров’я») –                         13 126,7 </w:t>
      </w:r>
      <w:proofErr w:type="spellStart"/>
      <w:r>
        <w:rPr>
          <w:sz w:val="28"/>
          <w:szCs w:val="28"/>
          <w:lang w:eastAsia="ru-RU"/>
        </w:rPr>
        <w:t>тис.грн</w:t>
      </w:r>
      <w:proofErr w:type="spellEnd"/>
      <w:r>
        <w:rPr>
          <w:sz w:val="28"/>
          <w:szCs w:val="28"/>
          <w:lang w:eastAsia="ru-RU"/>
        </w:rPr>
        <w:t xml:space="preserve">. склали  13 126,5 </w:t>
      </w:r>
      <w:proofErr w:type="spellStart"/>
      <w:r>
        <w:rPr>
          <w:sz w:val="28"/>
          <w:szCs w:val="28"/>
          <w:lang w:eastAsia="ru-RU"/>
        </w:rPr>
        <w:t>тис.грн</w:t>
      </w:r>
      <w:proofErr w:type="spellEnd"/>
      <w:r>
        <w:rPr>
          <w:sz w:val="28"/>
          <w:szCs w:val="28"/>
          <w:lang w:eastAsia="ru-RU"/>
        </w:rPr>
        <w:t xml:space="preserve">., відповідно 99,9%. </w:t>
      </w:r>
    </w:p>
    <w:p w:rsidR="003162EE" w:rsidRDefault="003162EE" w:rsidP="003162EE">
      <w:pPr>
        <w:widowControl w:val="0"/>
        <w:tabs>
          <w:tab w:val="left" w:pos="1440"/>
        </w:tabs>
        <w:suppressAutoHyphens/>
        <w:ind w:firstLine="680"/>
        <w:jc w:val="both"/>
        <w:rPr>
          <w:sz w:val="28"/>
          <w:szCs w:val="28"/>
          <w:lang w:eastAsia="ru-RU"/>
        </w:rPr>
      </w:pPr>
      <w:r>
        <w:rPr>
          <w:sz w:val="28"/>
          <w:szCs w:val="28"/>
          <w:lang w:eastAsia="ru-RU"/>
        </w:rPr>
        <w:t xml:space="preserve">Видатки на харчування при уточненому плані на рік (з урахуванням видатків згідно планів використання по галузі «Охорона здоров’я») –                        29 586,4 </w:t>
      </w:r>
      <w:proofErr w:type="spellStart"/>
      <w:r>
        <w:rPr>
          <w:sz w:val="28"/>
          <w:szCs w:val="28"/>
          <w:lang w:eastAsia="ru-RU"/>
        </w:rPr>
        <w:t>тис.грн</w:t>
      </w:r>
      <w:proofErr w:type="spellEnd"/>
      <w:r>
        <w:rPr>
          <w:sz w:val="28"/>
          <w:szCs w:val="28"/>
          <w:lang w:eastAsia="ru-RU"/>
        </w:rPr>
        <w:t xml:space="preserve">. склали  29 133,0 </w:t>
      </w:r>
      <w:proofErr w:type="spellStart"/>
      <w:r>
        <w:rPr>
          <w:sz w:val="28"/>
          <w:szCs w:val="28"/>
          <w:lang w:eastAsia="ru-RU"/>
        </w:rPr>
        <w:t>тис.грн</w:t>
      </w:r>
      <w:proofErr w:type="spellEnd"/>
      <w:r>
        <w:rPr>
          <w:sz w:val="28"/>
          <w:szCs w:val="28"/>
          <w:lang w:eastAsia="ru-RU"/>
        </w:rPr>
        <w:t>., що становить 95,5% та 1,4% від загальних витрат. На кінець звітного періоду також відсутня кредиторська заборгованість.</w:t>
      </w:r>
    </w:p>
    <w:p w:rsidR="003162EE" w:rsidRDefault="003162EE" w:rsidP="003162EE">
      <w:pPr>
        <w:widowControl w:val="0"/>
        <w:tabs>
          <w:tab w:val="left" w:pos="1440"/>
        </w:tabs>
        <w:suppressAutoHyphens/>
        <w:ind w:firstLine="680"/>
        <w:jc w:val="both"/>
        <w:rPr>
          <w:sz w:val="28"/>
          <w:szCs w:val="28"/>
          <w:lang w:eastAsia="ru-RU"/>
        </w:rPr>
      </w:pPr>
      <w:r>
        <w:rPr>
          <w:sz w:val="28"/>
          <w:szCs w:val="28"/>
          <w:lang w:eastAsia="ru-RU"/>
        </w:rPr>
        <w:t xml:space="preserve">Видатки на оплату комунальних послуг та енергоносіїв при уточненому плані на рік (з урахуванням видатків згідно планів використання по галузі «Охорона здоров’я»)  95 036,9 </w:t>
      </w:r>
      <w:proofErr w:type="spellStart"/>
      <w:r>
        <w:rPr>
          <w:sz w:val="28"/>
          <w:szCs w:val="28"/>
          <w:lang w:eastAsia="ru-RU"/>
        </w:rPr>
        <w:t>тис.грн</w:t>
      </w:r>
      <w:proofErr w:type="spellEnd"/>
      <w:r>
        <w:rPr>
          <w:sz w:val="28"/>
          <w:szCs w:val="28"/>
          <w:lang w:eastAsia="ru-RU"/>
        </w:rPr>
        <w:t xml:space="preserve">. склали  94 051,0 </w:t>
      </w:r>
      <w:proofErr w:type="spellStart"/>
      <w:r>
        <w:rPr>
          <w:sz w:val="28"/>
          <w:szCs w:val="28"/>
          <w:lang w:eastAsia="ru-RU"/>
        </w:rPr>
        <w:t>тис.грн</w:t>
      </w:r>
      <w:proofErr w:type="spellEnd"/>
      <w:r>
        <w:rPr>
          <w:sz w:val="28"/>
          <w:szCs w:val="28"/>
          <w:lang w:eastAsia="ru-RU"/>
        </w:rPr>
        <w:t>., тобто 99,0% та 4,6% від загальних витрат. На кінець звітного періоду відсутня кредиторська заборгованість.</w:t>
      </w:r>
    </w:p>
    <w:p w:rsidR="003162EE" w:rsidRDefault="003162EE" w:rsidP="003162EE">
      <w:pPr>
        <w:widowControl w:val="0"/>
        <w:tabs>
          <w:tab w:val="left" w:pos="1440"/>
        </w:tabs>
        <w:suppressAutoHyphens/>
        <w:ind w:firstLine="680"/>
        <w:jc w:val="both"/>
        <w:rPr>
          <w:sz w:val="28"/>
          <w:szCs w:val="28"/>
          <w:lang w:eastAsia="ru-RU"/>
        </w:rPr>
      </w:pPr>
      <w:r>
        <w:rPr>
          <w:sz w:val="28"/>
          <w:szCs w:val="28"/>
          <w:lang w:eastAsia="ru-RU"/>
        </w:rPr>
        <w:t xml:space="preserve">Поточні трансферти на соціальне забезпечення при уточненому плані на рік  823 233,9 </w:t>
      </w:r>
      <w:proofErr w:type="spellStart"/>
      <w:r>
        <w:rPr>
          <w:sz w:val="28"/>
          <w:szCs w:val="28"/>
          <w:lang w:eastAsia="ru-RU"/>
        </w:rPr>
        <w:t>тис.грн</w:t>
      </w:r>
      <w:proofErr w:type="spellEnd"/>
      <w:r>
        <w:rPr>
          <w:sz w:val="28"/>
          <w:szCs w:val="28"/>
          <w:lang w:eastAsia="ru-RU"/>
        </w:rPr>
        <w:t xml:space="preserve">. склали  812 480,5  </w:t>
      </w:r>
      <w:proofErr w:type="spellStart"/>
      <w:r>
        <w:rPr>
          <w:sz w:val="28"/>
          <w:szCs w:val="28"/>
          <w:lang w:eastAsia="ru-RU"/>
        </w:rPr>
        <w:t>тис.грн</w:t>
      </w:r>
      <w:proofErr w:type="spellEnd"/>
      <w:r>
        <w:rPr>
          <w:sz w:val="28"/>
          <w:szCs w:val="28"/>
          <w:lang w:eastAsia="ru-RU"/>
        </w:rPr>
        <w:t xml:space="preserve">., відповідно 98,7%  та 39,6% від загальних витрат. На кінець звітного періоду склалася кредиторська заборгованість в сумі 246 868,9 </w:t>
      </w:r>
      <w:proofErr w:type="spellStart"/>
      <w:r>
        <w:rPr>
          <w:sz w:val="28"/>
          <w:szCs w:val="28"/>
          <w:lang w:eastAsia="ru-RU"/>
        </w:rPr>
        <w:t>тис.грн</w:t>
      </w:r>
      <w:proofErr w:type="spellEnd"/>
      <w:r>
        <w:rPr>
          <w:sz w:val="28"/>
          <w:szCs w:val="28"/>
          <w:lang w:eastAsia="ru-RU"/>
        </w:rPr>
        <w:t>. Це заборгованість по субвенції з державного бюджету на пільги та субсидії, яка виникла через недофінансування з державного бюджету та буде погашена по мірі надходження коштів.</w:t>
      </w:r>
    </w:p>
    <w:p w:rsidR="003162EE" w:rsidRDefault="003162EE" w:rsidP="003162EE">
      <w:pPr>
        <w:widowControl w:val="0"/>
        <w:tabs>
          <w:tab w:val="left" w:pos="1440"/>
        </w:tabs>
        <w:suppressAutoHyphens/>
        <w:ind w:firstLine="680"/>
        <w:jc w:val="both"/>
        <w:rPr>
          <w:sz w:val="28"/>
          <w:szCs w:val="28"/>
          <w:lang w:eastAsia="ru-RU"/>
        </w:rPr>
      </w:pPr>
      <w:r>
        <w:rPr>
          <w:sz w:val="28"/>
          <w:szCs w:val="28"/>
          <w:lang w:eastAsia="ru-RU"/>
        </w:rPr>
        <w:t xml:space="preserve">Затверджені видатки </w:t>
      </w:r>
      <w:r>
        <w:rPr>
          <w:b/>
          <w:sz w:val="28"/>
          <w:szCs w:val="28"/>
          <w:lang w:eastAsia="ru-RU"/>
        </w:rPr>
        <w:t>спеціального фонду</w:t>
      </w:r>
      <w:r>
        <w:rPr>
          <w:b/>
          <w:i/>
          <w:sz w:val="28"/>
          <w:szCs w:val="28"/>
          <w:lang w:eastAsia="ru-RU"/>
        </w:rPr>
        <w:t xml:space="preserve"> </w:t>
      </w:r>
      <w:r>
        <w:rPr>
          <w:sz w:val="28"/>
          <w:szCs w:val="28"/>
          <w:lang w:eastAsia="ru-RU"/>
        </w:rPr>
        <w:t xml:space="preserve">з урахуванням змін на 2017 рік  склали  427 397,1 </w:t>
      </w:r>
      <w:proofErr w:type="spellStart"/>
      <w:r>
        <w:rPr>
          <w:sz w:val="28"/>
          <w:szCs w:val="28"/>
          <w:lang w:eastAsia="ru-RU"/>
        </w:rPr>
        <w:t>тис.грн</w:t>
      </w:r>
      <w:proofErr w:type="spellEnd"/>
      <w:r>
        <w:rPr>
          <w:sz w:val="28"/>
          <w:szCs w:val="28"/>
          <w:lang w:eastAsia="ru-RU"/>
        </w:rPr>
        <w:t xml:space="preserve">. Уточнений обсяг кошторисних призначень складає 437 911,1 </w:t>
      </w:r>
      <w:proofErr w:type="spellStart"/>
      <w:r>
        <w:rPr>
          <w:sz w:val="28"/>
          <w:szCs w:val="28"/>
          <w:lang w:eastAsia="ru-RU"/>
        </w:rPr>
        <w:t>тис.грн</w:t>
      </w:r>
      <w:proofErr w:type="spellEnd"/>
      <w:r>
        <w:rPr>
          <w:sz w:val="28"/>
          <w:szCs w:val="28"/>
          <w:lang w:eastAsia="ru-RU"/>
        </w:rPr>
        <w:t xml:space="preserve">., в тому числі бюджет розвитку – 316 111,8 </w:t>
      </w:r>
      <w:proofErr w:type="spellStart"/>
      <w:r>
        <w:rPr>
          <w:sz w:val="28"/>
          <w:szCs w:val="28"/>
          <w:lang w:eastAsia="ru-RU"/>
        </w:rPr>
        <w:t>тис.грн</w:t>
      </w:r>
      <w:proofErr w:type="spellEnd"/>
      <w:r>
        <w:rPr>
          <w:sz w:val="28"/>
          <w:szCs w:val="28"/>
          <w:lang w:eastAsia="ru-RU"/>
        </w:rPr>
        <w:t>.</w:t>
      </w:r>
    </w:p>
    <w:p w:rsidR="003162EE" w:rsidRDefault="003162EE" w:rsidP="003162EE">
      <w:pPr>
        <w:ind w:firstLine="709"/>
        <w:jc w:val="both"/>
        <w:rPr>
          <w:bCs/>
          <w:sz w:val="28"/>
          <w:szCs w:val="28"/>
          <w:lang w:eastAsia="ru-RU"/>
        </w:rPr>
      </w:pPr>
      <w:r>
        <w:rPr>
          <w:bCs/>
          <w:sz w:val="28"/>
          <w:szCs w:val="28"/>
          <w:lang w:eastAsia="ru-RU"/>
        </w:rPr>
        <w:lastRenderedPageBreak/>
        <w:t xml:space="preserve">Установами та закладами міста  витрачено коштів спеціального фонду на суму 392 644,3 </w:t>
      </w:r>
      <w:proofErr w:type="spellStart"/>
      <w:r>
        <w:rPr>
          <w:bCs/>
          <w:sz w:val="28"/>
          <w:szCs w:val="28"/>
          <w:lang w:eastAsia="ru-RU"/>
        </w:rPr>
        <w:t>тис.грн</w:t>
      </w:r>
      <w:proofErr w:type="spellEnd"/>
      <w:r>
        <w:rPr>
          <w:bCs/>
          <w:sz w:val="28"/>
          <w:szCs w:val="28"/>
          <w:lang w:eastAsia="ru-RU"/>
        </w:rPr>
        <w:t xml:space="preserve">. (89,7% до уточнених річних призначень). </w:t>
      </w:r>
    </w:p>
    <w:p w:rsidR="003162EE" w:rsidRDefault="003162EE" w:rsidP="003162EE">
      <w:pPr>
        <w:ind w:firstLine="709"/>
        <w:jc w:val="both"/>
        <w:rPr>
          <w:sz w:val="28"/>
          <w:szCs w:val="28"/>
          <w:lang w:eastAsia="ru-RU"/>
        </w:rPr>
      </w:pPr>
      <w:r>
        <w:rPr>
          <w:sz w:val="28"/>
          <w:szCs w:val="28"/>
          <w:lang w:eastAsia="ru-RU"/>
        </w:rPr>
        <w:t xml:space="preserve">За рахунок спеціального фонду  на оплату праці і нарахування на заробітну плату направлено  12 157,8  </w:t>
      </w:r>
      <w:proofErr w:type="spellStart"/>
      <w:r>
        <w:rPr>
          <w:sz w:val="28"/>
          <w:szCs w:val="28"/>
          <w:lang w:eastAsia="ru-RU"/>
        </w:rPr>
        <w:t>тис.грн</w:t>
      </w:r>
      <w:proofErr w:type="spellEnd"/>
      <w:r>
        <w:rPr>
          <w:sz w:val="28"/>
          <w:szCs w:val="28"/>
          <w:lang w:eastAsia="ru-RU"/>
        </w:rPr>
        <w:t>. (заробітна плата працівників, які надають платні послуги в бюджетних установах відповідно до законодавства), при плані згідно кошторисних призначень з урахуванням внесених змін (з урахуванням видатків згідно планів використання по галузі «</w:t>
      </w:r>
      <w:proofErr w:type="spellStart"/>
      <w:r>
        <w:rPr>
          <w:sz w:val="28"/>
          <w:szCs w:val="28"/>
          <w:lang w:eastAsia="ru-RU"/>
        </w:rPr>
        <w:t>Охрона</w:t>
      </w:r>
      <w:proofErr w:type="spellEnd"/>
      <w:r>
        <w:rPr>
          <w:sz w:val="28"/>
          <w:szCs w:val="28"/>
          <w:lang w:eastAsia="ru-RU"/>
        </w:rPr>
        <w:t xml:space="preserve"> здоров’я») - 12 647,8 </w:t>
      </w:r>
      <w:proofErr w:type="spellStart"/>
      <w:r>
        <w:rPr>
          <w:sz w:val="28"/>
          <w:szCs w:val="28"/>
          <w:lang w:eastAsia="ru-RU"/>
        </w:rPr>
        <w:t>тис.грн</w:t>
      </w:r>
      <w:proofErr w:type="spellEnd"/>
      <w:r>
        <w:rPr>
          <w:sz w:val="28"/>
          <w:szCs w:val="28"/>
          <w:lang w:eastAsia="ru-RU"/>
        </w:rPr>
        <w:t xml:space="preserve">., тобто 96,1%. Питома вага видатків на заробітну плата з нарахуваннями в </w:t>
      </w:r>
      <w:proofErr w:type="spellStart"/>
      <w:r>
        <w:rPr>
          <w:sz w:val="28"/>
          <w:szCs w:val="28"/>
          <w:lang w:eastAsia="ru-RU"/>
        </w:rPr>
        <w:t>загальнобюджетних</w:t>
      </w:r>
      <w:proofErr w:type="spellEnd"/>
      <w:r>
        <w:rPr>
          <w:sz w:val="28"/>
          <w:szCs w:val="28"/>
          <w:lang w:eastAsia="ru-RU"/>
        </w:rPr>
        <w:t xml:space="preserve"> видатках спеціального фонду складає 3,2%.</w:t>
      </w:r>
    </w:p>
    <w:p w:rsidR="003162EE" w:rsidRDefault="003162EE" w:rsidP="003162EE">
      <w:pPr>
        <w:ind w:firstLine="709"/>
        <w:jc w:val="both"/>
        <w:rPr>
          <w:sz w:val="28"/>
          <w:szCs w:val="28"/>
          <w:lang w:eastAsia="ru-RU"/>
        </w:rPr>
      </w:pPr>
      <w:r>
        <w:rPr>
          <w:sz w:val="28"/>
          <w:szCs w:val="28"/>
          <w:lang w:eastAsia="ru-RU"/>
        </w:rPr>
        <w:t>Видатки на медикаменти згідно уточнених кошторисних призначень (з урахуванням видатків згідно планів використання по галузі «Охорона здоров’я») – 8 153,7 тис. грн. склали  7 887,0 тис. грн., відповідно 96,7% та 2,0% від загальних витрат .</w:t>
      </w:r>
    </w:p>
    <w:p w:rsidR="003162EE" w:rsidRDefault="003162EE" w:rsidP="003162EE">
      <w:pPr>
        <w:ind w:firstLine="709"/>
        <w:jc w:val="both"/>
        <w:rPr>
          <w:sz w:val="28"/>
          <w:szCs w:val="28"/>
          <w:lang w:eastAsia="ru-RU"/>
        </w:rPr>
      </w:pPr>
      <w:r>
        <w:rPr>
          <w:sz w:val="28"/>
          <w:szCs w:val="28"/>
          <w:lang w:eastAsia="ru-RU"/>
        </w:rPr>
        <w:t xml:space="preserve">Видатки на харчування при уточненому плані (з урахуванням видатків згідно планів використання по галузі «Охорона здоров’я») – 15 228,9 </w:t>
      </w:r>
      <w:proofErr w:type="spellStart"/>
      <w:r>
        <w:rPr>
          <w:sz w:val="28"/>
          <w:szCs w:val="28"/>
          <w:lang w:eastAsia="ru-RU"/>
        </w:rPr>
        <w:t>тис.грн</w:t>
      </w:r>
      <w:proofErr w:type="spellEnd"/>
      <w:r>
        <w:rPr>
          <w:sz w:val="28"/>
          <w:szCs w:val="28"/>
          <w:lang w:eastAsia="ru-RU"/>
        </w:rPr>
        <w:t xml:space="preserve">. склали  14 743,2 </w:t>
      </w:r>
      <w:proofErr w:type="spellStart"/>
      <w:r>
        <w:rPr>
          <w:sz w:val="28"/>
          <w:szCs w:val="28"/>
          <w:lang w:eastAsia="ru-RU"/>
        </w:rPr>
        <w:t>тис.грн</w:t>
      </w:r>
      <w:proofErr w:type="spellEnd"/>
      <w:r>
        <w:rPr>
          <w:sz w:val="28"/>
          <w:szCs w:val="28"/>
          <w:lang w:eastAsia="ru-RU"/>
        </w:rPr>
        <w:t>., це 96,8% та 3,7% від загальних витрат.</w:t>
      </w:r>
    </w:p>
    <w:p w:rsidR="003162EE" w:rsidRDefault="003162EE" w:rsidP="003162EE">
      <w:pPr>
        <w:ind w:firstLine="709"/>
        <w:jc w:val="both"/>
        <w:rPr>
          <w:sz w:val="28"/>
          <w:szCs w:val="28"/>
          <w:lang w:eastAsia="ru-RU"/>
        </w:rPr>
      </w:pPr>
      <w:r>
        <w:rPr>
          <w:sz w:val="28"/>
          <w:szCs w:val="28"/>
          <w:lang w:eastAsia="ru-RU"/>
        </w:rPr>
        <w:t>Видатки на оплату комунальних послуг та енергоносіїв при уточненому плані (з урахуванням видатків згідно планів використання по галузі «Охорона здоров’я»)   2 028,0 тис. грн. склали 1 529,5 тис. грн., тобто 75,4%, та 0,4% від загальних витрат.</w:t>
      </w:r>
    </w:p>
    <w:p w:rsidR="003162EE" w:rsidRDefault="003162EE" w:rsidP="003162EE">
      <w:pPr>
        <w:ind w:firstLine="709"/>
        <w:jc w:val="both"/>
        <w:rPr>
          <w:bCs/>
          <w:sz w:val="28"/>
          <w:szCs w:val="28"/>
          <w:lang w:eastAsia="ru-RU"/>
        </w:rPr>
      </w:pPr>
      <w:r>
        <w:rPr>
          <w:bCs/>
          <w:sz w:val="28"/>
          <w:szCs w:val="28"/>
          <w:lang w:eastAsia="ru-RU"/>
        </w:rPr>
        <w:t>Поточні трансферти при уточненому плані – 55 845,4 тис. грн. склали 55 597,6 тис. грн., тобто 99,6% та 14,2% від загальних витрат.</w:t>
      </w:r>
    </w:p>
    <w:p w:rsidR="003162EE" w:rsidRDefault="003162EE" w:rsidP="003162EE">
      <w:pPr>
        <w:ind w:firstLine="709"/>
        <w:jc w:val="both"/>
        <w:rPr>
          <w:bCs/>
          <w:sz w:val="28"/>
          <w:szCs w:val="28"/>
          <w:lang w:eastAsia="ru-RU"/>
        </w:rPr>
      </w:pPr>
      <w:r>
        <w:rPr>
          <w:bCs/>
          <w:sz w:val="28"/>
          <w:szCs w:val="28"/>
          <w:lang w:eastAsia="ru-RU"/>
        </w:rPr>
        <w:t xml:space="preserve">Капітальні видатки спеціального фонду бюджету заплановані на рік з урахуванням змін в сумі 327 611,8 </w:t>
      </w:r>
      <w:proofErr w:type="spellStart"/>
      <w:r>
        <w:rPr>
          <w:bCs/>
          <w:sz w:val="28"/>
          <w:szCs w:val="28"/>
          <w:lang w:eastAsia="ru-RU"/>
        </w:rPr>
        <w:t>тис.грн</w:t>
      </w:r>
      <w:proofErr w:type="spellEnd"/>
      <w:r>
        <w:rPr>
          <w:bCs/>
          <w:sz w:val="28"/>
          <w:szCs w:val="28"/>
          <w:lang w:eastAsia="ru-RU"/>
        </w:rPr>
        <w:t xml:space="preserve">.,  в тому числі бюджет розвитку – 315 577,1 </w:t>
      </w:r>
      <w:proofErr w:type="spellStart"/>
      <w:r>
        <w:rPr>
          <w:bCs/>
          <w:sz w:val="28"/>
          <w:szCs w:val="28"/>
          <w:lang w:eastAsia="ru-RU"/>
        </w:rPr>
        <w:t>тис.грн</w:t>
      </w:r>
      <w:proofErr w:type="spellEnd"/>
      <w:r>
        <w:rPr>
          <w:bCs/>
          <w:sz w:val="28"/>
          <w:szCs w:val="28"/>
          <w:lang w:eastAsia="ru-RU"/>
        </w:rPr>
        <w:t xml:space="preserve">. Касові видатки за звітний період склали 285 625,9 грн., що складає 87,2% та 72,0% від загальних витрат. </w:t>
      </w:r>
    </w:p>
    <w:p w:rsidR="003162EE" w:rsidRDefault="003162EE" w:rsidP="003162EE">
      <w:pPr>
        <w:ind w:firstLine="720"/>
        <w:jc w:val="both"/>
        <w:rPr>
          <w:sz w:val="28"/>
          <w:szCs w:val="28"/>
          <w:lang w:eastAsia="ru-RU"/>
        </w:rPr>
      </w:pPr>
    </w:p>
    <w:p w:rsidR="003162EE" w:rsidRDefault="003162EE" w:rsidP="003162EE">
      <w:pPr>
        <w:ind w:firstLine="720"/>
        <w:jc w:val="both"/>
        <w:rPr>
          <w:sz w:val="28"/>
          <w:szCs w:val="28"/>
          <w:lang w:eastAsia="ru-RU"/>
        </w:rPr>
      </w:pPr>
      <w:r>
        <w:rPr>
          <w:sz w:val="28"/>
          <w:szCs w:val="28"/>
          <w:lang w:eastAsia="ru-RU"/>
        </w:rPr>
        <w:t>Для  відшкодування витрат підприємств за надані пільги на  комунальні послуги іншим категоріям населення (інваліди по зору, почесні громадяни міста, сім’ї загиблих воїнів-афганців,</w:t>
      </w:r>
      <w:r>
        <w:rPr>
          <w:kern w:val="2"/>
          <w:sz w:val="28"/>
          <w:szCs w:val="28"/>
          <w:lang w:eastAsia="ru-RU"/>
        </w:rPr>
        <w:t xml:space="preserve"> пільги учасникам АТО та членам їх сімей на послуги з утримання будинків і споруд та прибудинкових територій</w:t>
      </w:r>
      <w:r>
        <w:rPr>
          <w:sz w:val="28"/>
          <w:szCs w:val="28"/>
          <w:lang w:eastAsia="ru-RU"/>
        </w:rPr>
        <w:t xml:space="preserve">) в міському бюджеті на 2017 рік  передбачено асигнування в сумі 1 803,0 </w:t>
      </w:r>
      <w:proofErr w:type="spellStart"/>
      <w:r>
        <w:rPr>
          <w:sz w:val="28"/>
          <w:szCs w:val="28"/>
          <w:lang w:eastAsia="ru-RU"/>
        </w:rPr>
        <w:t>тис.грн</w:t>
      </w:r>
      <w:proofErr w:type="spellEnd"/>
      <w:r>
        <w:rPr>
          <w:sz w:val="28"/>
          <w:szCs w:val="28"/>
          <w:lang w:eastAsia="ru-RU"/>
        </w:rPr>
        <w:t xml:space="preserve">. Видатки  проведені в сумі 1 591,3 </w:t>
      </w:r>
      <w:proofErr w:type="spellStart"/>
      <w:r>
        <w:rPr>
          <w:sz w:val="28"/>
          <w:szCs w:val="28"/>
          <w:lang w:eastAsia="ru-RU"/>
        </w:rPr>
        <w:t>тис.грн</w:t>
      </w:r>
      <w:proofErr w:type="spellEnd"/>
      <w:r>
        <w:rPr>
          <w:sz w:val="28"/>
          <w:szCs w:val="28"/>
          <w:lang w:eastAsia="ru-RU"/>
        </w:rPr>
        <w:t xml:space="preserve">., що складає 88,3% від плану на рік. </w:t>
      </w:r>
    </w:p>
    <w:p w:rsidR="003162EE" w:rsidRDefault="003162EE" w:rsidP="003162EE">
      <w:pPr>
        <w:ind w:firstLine="708"/>
        <w:jc w:val="both"/>
        <w:rPr>
          <w:sz w:val="28"/>
          <w:szCs w:val="28"/>
          <w:lang w:eastAsia="ru-RU"/>
        </w:rPr>
      </w:pPr>
      <w:r>
        <w:rPr>
          <w:sz w:val="28"/>
          <w:szCs w:val="28"/>
          <w:lang w:eastAsia="ru-RU"/>
        </w:rPr>
        <w:t xml:space="preserve">Видатки із міського бюджету на житлово-комунальне господарство  на 2017 рік визначено в сумі 311 649,2 </w:t>
      </w:r>
      <w:proofErr w:type="spellStart"/>
      <w:r>
        <w:rPr>
          <w:sz w:val="28"/>
          <w:szCs w:val="28"/>
          <w:lang w:eastAsia="ru-RU"/>
        </w:rPr>
        <w:t>тис.грн</w:t>
      </w:r>
      <w:proofErr w:type="spellEnd"/>
      <w:r>
        <w:rPr>
          <w:sz w:val="28"/>
          <w:szCs w:val="28"/>
          <w:lang w:eastAsia="ru-RU"/>
        </w:rPr>
        <w:t xml:space="preserve">. (з них загальний фонд (видатки споживання) – 188 341,6 </w:t>
      </w:r>
      <w:proofErr w:type="spellStart"/>
      <w:r>
        <w:rPr>
          <w:sz w:val="28"/>
          <w:szCs w:val="28"/>
          <w:lang w:eastAsia="ru-RU"/>
        </w:rPr>
        <w:t>тис.грн</w:t>
      </w:r>
      <w:proofErr w:type="spellEnd"/>
      <w:r>
        <w:rPr>
          <w:sz w:val="28"/>
          <w:szCs w:val="28"/>
          <w:lang w:eastAsia="ru-RU"/>
        </w:rPr>
        <w:t xml:space="preserve">., спеціальний фонд (бюджет розвитку) – 123 307,6 тис. грн.) Видатки на житлово-комунальне господарство розподіляються таким чином:  забезпечення надійного та безперебійного функціонування житлово-експлуатаційного господарства – 4 941,6 </w:t>
      </w:r>
      <w:proofErr w:type="spellStart"/>
      <w:r>
        <w:rPr>
          <w:sz w:val="28"/>
          <w:szCs w:val="28"/>
          <w:lang w:eastAsia="ru-RU"/>
        </w:rPr>
        <w:t>тис.грн</w:t>
      </w:r>
      <w:proofErr w:type="spellEnd"/>
      <w:r>
        <w:rPr>
          <w:sz w:val="28"/>
          <w:szCs w:val="28"/>
          <w:lang w:eastAsia="ru-RU"/>
        </w:rPr>
        <w:t xml:space="preserve">., капітальний ремонт об’єктів житлового господарства - 8 233,5 </w:t>
      </w:r>
      <w:proofErr w:type="spellStart"/>
      <w:r>
        <w:rPr>
          <w:sz w:val="28"/>
          <w:szCs w:val="28"/>
          <w:lang w:eastAsia="ru-RU"/>
        </w:rPr>
        <w:t>тис.грн</w:t>
      </w:r>
      <w:proofErr w:type="spellEnd"/>
      <w:r>
        <w:rPr>
          <w:sz w:val="28"/>
          <w:szCs w:val="28"/>
          <w:lang w:eastAsia="ru-RU"/>
        </w:rPr>
        <w:t xml:space="preserve">., благоустрій міста  – 66 794,5 </w:t>
      </w:r>
      <w:proofErr w:type="spellStart"/>
      <w:r>
        <w:rPr>
          <w:sz w:val="28"/>
          <w:szCs w:val="28"/>
          <w:lang w:eastAsia="ru-RU"/>
        </w:rPr>
        <w:t>тис.грн</w:t>
      </w:r>
      <w:proofErr w:type="spellEnd"/>
      <w:r>
        <w:rPr>
          <w:sz w:val="28"/>
          <w:szCs w:val="28"/>
          <w:lang w:eastAsia="ru-RU"/>
        </w:rPr>
        <w:t xml:space="preserve">., фінансова підтримка транспортних та інших комунальних підприємств міста – 128 689,9 </w:t>
      </w:r>
      <w:proofErr w:type="spellStart"/>
      <w:r>
        <w:rPr>
          <w:sz w:val="28"/>
          <w:szCs w:val="28"/>
          <w:lang w:eastAsia="ru-RU"/>
        </w:rPr>
        <w:t>тис.грн</w:t>
      </w:r>
      <w:proofErr w:type="spellEnd"/>
      <w:r>
        <w:rPr>
          <w:sz w:val="28"/>
          <w:szCs w:val="28"/>
          <w:lang w:eastAsia="ru-RU"/>
        </w:rPr>
        <w:t xml:space="preserve">., погашення різниці  між фактичною вартістю теплової енергії, послуг з централізованого опалення, постачання гарячої води, централізованого водопостачання та водовідведення, постачання холодної води та водовідведення (з використанням </w:t>
      </w:r>
      <w:proofErr w:type="spellStart"/>
      <w:r>
        <w:rPr>
          <w:sz w:val="28"/>
          <w:szCs w:val="28"/>
          <w:lang w:eastAsia="ru-RU"/>
        </w:rPr>
        <w:t>внутрішньобудинкових</w:t>
      </w:r>
      <w:proofErr w:type="spellEnd"/>
      <w:r>
        <w:rPr>
          <w:sz w:val="28"/>
          <w:szCs w:val="28"/>
          <w:lang w:eastAsia="ru-RU"/>
        </w:rPr>
        <w:t xml:space="preserve"> систем), що вироблялися, транспортувалися та </w:t>
      </w:r>
      <w:r>
        <w:rPr>
          <w:sz w:val="28"/>
          <w:szCs w:val="28"/>
          <w:lang w:eastAsia="ru-RU"/>
        </w:rPr>
        <w:lastRenderedPageBreak/>
        <w:t xml:space="preserve">постачалися населенню та/або іншим підприємствам теплопостачання, централізованого питного водопостачання та водовідведення, які надають населенню такі послуги, та тарифами, що затверджувалися та/або погоджувалися органами державної влади чи місцевого самоврядування - 102 989,7 </w:t>
      </w:r>
      <w:proofErr w:type="spellStart"/>
      <w:r>
        <w:rPr>
          <w:sz w:val="28"/>
          <w:szCs w:val="28"/>
          <w:lang w:eastAsia="ru-RU"/>
        </w:rPr>
        <w:t>тис.грн</w:t>
      </w:r>
      <w:proofErr w:type="spellEnd"/>
      <w:r>
        <w:rPr>
          <w:sz w:val="28"/>
          <w:szCs w:val="28"/>
          <w:lang w:eastAsia="ru-RU"/>
        </w:rPr>
        <w:t xml:space="preserve">.   </w:t>
      </w:r>
    </w:p>
    <w:p w:rsidR="003162EE" w:rsidRDefault="003162EE" w:rsidP="003162EE">
      <w:pPr>
        <w:ind w:firstLine="708"/>
        <w:jc w:val="both"/>
        <w:rPr>
          <w:sz w:val="28"/>
          <w:szCs w:val="28"/>
          <w:lang w:eastAsia="ru-RU"/>
        </w:rPr>
      </w:pPr>
      <w:r>
        <w:rPr>
          <w:sz w:val="28"/>
          <w:szCs w:val="28"/>
          <w:lang w:eastAsia="ru-RU"/>
        </w:rPr>
        <w:t xml:space="preserve">Касові видатки за 2017 рік на житлово-комунальне господарство склали        254 608,0 тис. грн. (81,7 % річного плану), в </w:t>
      </w:r>
      <w:proofErr w:type="spellStart"/>
      <w:r>
        <w:rPr>
          <w:sz w:val="28"/>
          <w:szCs w:val="28"/>
          <w:lang w:eastAsia="ru-RU"/>
        </w:rPr>
        <w:t>т.ч</w:t>
      </w:r>
      <w:proofErr w:type="spellEnd"/>
      <w:r>
        <w:rPr>
          <w:sz w:val="28"/>
          <w:szCs w:val="28"/>
          <w:lang w:eastAsia="ru-RU"/>
        </w:rPr>
        <w:t xml:space="preserve">. забезпечення надійного та безперебійного функціонування житлово-експлуатаційного господарство –                     4 709,1 тис. грн. (95,3 % річного плану), капітальний ремонт об’єктів житлового господарства – 7 218,8 тис. грн. (87,8% річного плану), благоустрій міста –65 284,0 тис. грн. (97,7% річного плану), фінансова підтримка транспортних та інших комунальних підприємств міста – 122 086,8 тис. грн. (94,7 % річного плану), погашення різниці  між фактичною вартістю теплової енергії, послуг з централізованого опалення, постачання гарячої води, централізованого водопостачання та водовідведення, постачання холодної води та водовідведення (з використанням </w:t>
      </w:r>
      <w:proofErr w:type="spellStart"/>
      <w:r>
        <w:rPr>
          <w:sz w:val="28"/>
          <w:szCs w:val="28"/>
          <w:lang w:eastAsia="ru-RU"/>
        </w:rPr>
        <w:t>внутрішньобудинкових</w:t>
      </w:r>
      <w:proofErr w:type="spellEnd"/>
      <w:r>
        <w:rPr>
          <w:sz w:val="28"/>
          <w:szCs w:val="28"/>
          <w:lang w:eastAsia="ru-RU"/>
        </w:rPr>
        <w:t xml:space="preserve"> систем), що вироблялися, транспортувалися та постачалися населенню та/або іншим підприємствам теплопостачання, централізованого питного водопостачання та водовідведення, які надають населенню такі послуги, та тарифами, що затверджувалися та/або погоджувалися органами державної влади чи місцевого самоврядування – 55 309,3  </w:t>
      </w:r>
      <w:proofErr w:type="spellStart"/>
      <w:r>
        <w:rPr>
          <w:sz w:val="28"/>
          <w:szCs w:val="28"/>
          <w:lang w:eastAsia="ru-RU"/>
        </w:rPr>
        <w:t>тис.грн</w:t>
      </w:r>
      <w:proofErr w:type="spellEnd"/>
      <w:r>
        <w:rPr>
          <w:sz w:val="28"/>
          <w:szCs w:val="28"/>
          <w:lang w:eastAsia="ru-RU"/>
        </w:rPr>
        <w:t>. (53,7%  річного плану), з них для ПАТ «</w:t>
      </w:r>
      <w:proofErr w:type="spellStart"/>
      <w:r>
        <w:rPr>
          <w:sz w:val="28"/>
          <w:szCs w:val="28"/>
          <w:lang w:eastAsia="ru-RU"/>
        </w:rPr>
        <w:t>Полтаваобленерго</w:t>
      </w:r>
      <w:proofErr w:type="spellEnd"/>
      <w:r>
        <w:rPr>
          <w:sz w:val="28"/>
          <w:szCs w:val="28"/>
          <w:lang w:eastAsia="ru-RU"/>
        </w:rPr>
        <w:t xml:space="preserve">» - 47 459,6 </w:t>
      </w:r>
      <w:proofErr w:type="spellStart"/>
      <w:r>
        <w:rPr>
          <w:sz w:val="28"/>
          <w:szCs w:val="28"/>
          <w:lang w:eastAsia="ru-RU"/>
        </w:rPr>
        <w:t>тис.грн</w:t>
      </w:r>
      <w:proofErr w:type="spellEnd"/>
      <w:r>
        <w:rPr>
          <w:sz w:val="28"/>
          <w:szCs w:val="28"/>
          <w:lang w:eastAsia="ru-RU"/>
        </w:rPr>
        <w:t xml:space="preserve">., для </w:t>
      </w:r>
      <w:r w:rsidR="000B2051">
        <w:rPr>
          <w:sz w:val="28"/>
          <w:szCs w:val="28"/>
          <w:lang w:eastAsia="ru-RU"/>
        </w:rPr>
        <w:t xml:space="preserve">                                            </w:t>
      </w:r>
      <w:r>
        <w:rPr>
          <w:sz w:val="28"/>
          <w:szCs w:val="28"/>
          <w:lang w:eastAsia="ru-RU"/>
        </w:rPr>
        <w:t>КП «</w:t>
      </w:r>
      <w:proofErr w:type="spellStart"/>
      <w:r>
        <w:rPr>
          <w:sz w:val="28"/>
          <w:szCs w:val="28"/>
          <w:lang w:eastAsia="ru-RU"/>
        </w:rPr>
        <w:t>Кременчукводоканал</w:t>
      </w:r>
      <w:proofErr w:type="spellEnd"/>
      <w:r>
        <w:rPr>
          <w:sz w:val="28"/>
          <w:szCs w:val="28"/>
          <w:lang w:eastAsia="ru-RU"/>
        </w:rPr>
        <w:t xml:space="preserve">» - 7 849,7 тис. грн.    </w:t>
      </w:r>
    </w:p>
    <w:p w:rsidR="003162EE" w:rsidRDefault="003162EE" w:rsidP="003162EE">
      <w:pPr>
        <w:ind w:firstLine="708"/>
        <w:jc w:val="both"/>
        <w:rPr>
          <w:sz w:val="28"/>
          <w:szCs w:val="28"/>
          <w:lang w:eastAsia="ru-RU"/>
        </w:rPr>
      </w:pPr>
      <w:r>
        <w:rPr>
          <w:sz w:val="28"/>
          <w:szCs w:val="28"/>
          <w:lang w:eastAsia="ru-RU"/>
        </w:rPr>
        <w:t xml:space="preserve">У видатках на житлово-комунальне господарство передбачено асигнування на  капітальний ремонт житлового фонду місцевих органів влади та житлового фонду об'єднань співвласників багатоквартирних будинків, капітальний ремонт </w:t>
      </w:r>
      <w:proofErr w:type="spellStart"/>
      <w:r>
        <w:rPr>
          <w:sz w:val="28"/>
          <w:szCs w:val="28"/>
          <w:lang w:eastAsia="ru-RU"/>
        </w:rPr>
        <w:t>внутрішньоквартальних</w:t>
      </w:r>
      <w:proofErr w:type="spellEnd"/>
      <w:r>
        <w:rPr>
          <w:sz w:val="28"/>
          <w:szCs w:val="28"/>
          <w:lang w:eastAsia="ru-RU"/>
        </w:rPr>
        <w:t xml:space="preserve"> проходів та проїздів, поточний ремонт дорожнього покриття на прибудинкових територіях, проекти та  влаштування пандусів,</w:t>
      </w:r>
      <w:r>
        <w:rPr>
          <w:bCs/>
          <w:sz w:val="28"/>
          <w:szCs w:val="28"/>
          <w:lang w:eastAsia="ru-RU"/>
        </w:rPr>
        <w:t xml:space="preserve">    </w:t>
      </w:r>
      <w:r>
        <w:rPr>
          <w:sz w:val="28"/>
          <w:szCs w:val="28"/>
          <w:lang w:eastAsia="ru-RU"/>
        </w:rPr>
        <w:t>механізоване прибирання вулиць,  освітлення міста, поточний ремонт доріг.</w:t>
      </w:r>
    </w:p>
    <w:p w:rsidR="003162EE" w:rsidRDefault="003162EE" w:rsidP="003162EE">
      <w:pPr>
        <w:ind w:firstLine="720"/>
        <w:jc w:val="both"/>
        <w:rPr>
          <w:sz w:val="28"/>
          <w:szCs w:val="28"/>
          <w:lang w:eastAsia="ru-RU"/>
        </w:rPr>
      </w:pPr>
      <w:r>
        <w:rPr>
          <w:sz w:val="28"/>
          <w:szCs w:val="28"/>
          <w:lang w:eastAsia="ru-RU"/>
        </w:rPr>
        <w:t xml:space="preserve">На проведення робіт, пов'язаних з будівництвом, реконструкцією, ремонтом і утриманням автомобільних доріг на 2017 рік передбачено асигнування в сумі </w:t>
      </w:r>
    </w:p>
    <w:p w:rsidR="003162EE" w:rsidRDefault="003162EE" w:rsidP="003162EE">
      <w:pPr>
        <w:jc w:val="both"/>
        <w:rPr>
          <w:sz w:val="28"/>
          <w:szCs w:val="28"/>
          <w:lang w:eastAsia="ru-RU"/>
        </w:rPr>
      </w:pPr>
      <w:r>
        <w:rPr>
          <w:sz w:val="28"/>
          <w:szCs w:val="28"/>
          <w:lang w:eastAsia="ru-RU"/>
        </w:rPr>
        <w:t xml:space="preserve">52 899,7 тис. грн. Касові видатки за 2017 рік склали 48 360,7 </w:t>
      </w:r>
      <w:proofErr w:type="spellStart"/>
      <w:r>
        <w:rPr>
          <w:sz w:val="28"/>
          <w:szCs w:val="28"/>
          <w:lang w:eastAsia="ru-RU"/>
        </w:rPr>
        <w:t>тис.грн</w:t>
      </w:r>
      <w:proofErr w:type="spellEnd"/>
      <w:r>
        <w:rPr>
          <w:sz w:val="28"/>
          <w:szCs w:val="28"/>
          <w:lang w:eastAsia="ru-RU"/>
        </w:rPr>
        <w:t xml:space="preserve">. ( 91,4% річного плану), в </w:t>
      </w:r>
      <w:proofErr w:type="spellStart"/>
      <w:r>
        <w:rPr>
          <w:sz w:val="28"/>
          <w:szCs w:val="28"/>
          <w:lang w:eastAsia="ru-RU"/>
        </w:rPr>
        <w:t>т.ч</w:t>
      </w:r>
      <w:proofErr w:type="spellEnd"/>
      <w:r>
        <w:rPr>
          <w:sz w:val="28"/>
          <w:szCs w:val="28"/>
          <w:lang w:eastAsia="ru-RU"/>
        </w:rPr>
        <w:t xml:space="preserve">. за рахунок коштів субвенції з обласного бюджету місцевим бюджетам  для фінансування робіт з будівництва, реконструкції, ремонту та утримання доріг загального користування, доріг та вулиць комунальної власності в населених пунктах 1 274,4 </w:t>
      </w:r>
      <w:proofErr w:type="spellStart"/>
      <w:r>
        <w:rPr>
          <w:sz w:val="28"/>
          <w:szCs w:val="28"/>
          <w:lang w:eastAsia="ru-RU"/>
        </w:rPr>
        <w:t>тис.грн</w:t>
      </w:r>
      <w:proofErr w:type="spellEnd"/>
      <w:r>
        <w:rPr>
          <w:sz w:val="28"/>
          <w:szCs w:val="28"/>
          <w:lang w:eastAsia="ru-RU"/>
        </w:rPr>
        <w:t xml:space="preserve">. </w:t>
      </w:r>
    </w:p>
    <w:p w:rsidR="003162EE" w:rsidRDefault="003162EE" w:rsidP="003162EE">
      <w:pPr>
        <w:ind w:firstLine="720"/>
        <w:jc w:val="both"/>
        <w:rPr>
          <w:sz w:val="28"/>
          <w:szCs w:val="28"/>
          <w:lang w:eastAsia="ru-RU"/>
        </w:rPr>
      </w:pPr>
      <w:r>
        <w:rPr>
          <w:sz w:val="28"/>
          <w:szCs w:val="28"/>
          <w:lang w:eastAsia="ru-RU"/>
        </w:rPr>
        <w:t xml:space="preserve">Для підтримки засобів масової інформації (газети «Вісник Кременчука» та міської телерадіокомпанії) в міському бюджеті 2017 рік передбачено кошти в сумі 4 281,2 </w:t>
      </w:r>
      <w:proofErr w:type="spellStart"/>
      <w:r>
        <w:rPr>
          <w:sz w:val="28"/>
          <w:szCs w:val="28"/>
          <w:lang w:eastAsia="ru-RU"/>
        </w:rPr>
        <w:t>тис.грн</w:t>
      </w:r>
      <w:proofErr w:type="spellEnd"/>
      <w:r>
        <w:rPr>
          <w:sz w:val="28"/>
          <w:szCs w:val="28"/>
          <w:lang w:eastAsia="ru-RU"/>
        </w:rPr>
        <w:t xml:space="preserve">., касові видатки за  2017 рік  склали  4 259,8 </w:t>
      </w:r>
      <w:proofErr w:type="spellStart"/>
      <w:r>
        <w:rPr>
          <w:sz w:val="28"/>
          <w:szCs w:val="28"/>
          <w:lang w:eastAsia="ru-RU"/>
        </w:rPr>
        <w:t>тис.грн</w:t>
      </w:r>
      <w:proofErr w:type="spellEnd"/>
      <w:r>
        <w:rPr>
          <w:sz w:val="28"/>
          <w:szCs w:val="28"/>
          <w:lang w:eastAsia="ru-RU"/>
        </w:rPr>
        <w:t xml:space="preserve">. (99,5% річного плану), в </w:t>
      </w:r>
      <w:proofErr w:type="spellStart"/>
      <w:r>
        <w:rPr>
          <w:sz w:val="28"/>
          <w:szCs w:val="28"/>
          <w:lang w:eastAsia="ru-RU"/>
        </w:rPr>
        <w:t>т.ч</w:t>
      </w:r>
      <w:proofErr w:type="spellEnd"/>
      <w:r>
        <w:rPr>
          <w:sz w:val="28"/>
          <w:szCs w:val="28"/>
          <w:lang w:eastAsia="ru-RU"/>
        </w:rPr>
        <w:t xml:space="preserve">. для редакції газети «Вісник Кременчука» –                           1 329,2 тис. грн., для міської телерадіокомпанії – 2 930,6 </w:t>
      </w:r>
      <w:proofErr w:type="spellStart"/>
      <w:r>
        <w:rPr>
          <w:sz w:val="28"/>
          <w:szCs w:val="28"/>
          <w:lang w:eastAsia="ru-RU"/>
        </w:rPr>
        <w:t>тис.грн</w:t>
      </w:r>
      <w:proofErr w:type="spellEnd"/>
      <w:r>
        <w:rPr>
          <w:sz w:val="28"/>
          <w:szCs w:val="28"/>
          <w:lang w:eastAsia="ru-RU"/>
        </w:rPr>
        <w:t>.</w:t>
      </w:r>
    </w:p>
    <w:p w:rsidR="003162EE" w:rsidRDefault="003162EE" w:rsidP="003162EE">
      <w:pPr>
        <w:ind w:firstLine="708"/>
        <w:jc w:val="both"/>
        <w:rPr>
          <w:sz w:val="28"/>
          <w:szCs w:val="28"/>
          <w:lang w:eastAsia="ru-RU"/>
        </w:rPr>
      </w:pPr>
      <w:r>
        <w:rPr>
          <w:sz w:val="28"/>
          <w:szCs w:val="28"/>
          <w:lang w:eastAsia="ru-RU"/>
        </w:rPr>
        <w:t xml:space="preserve">На проведення заходів з землеустрою на 2017 рік в бюджеті міста передбачено асигнування в сумі 1 331,9 </w:t>
      </w:r>
      <w:proofErr w:type="spellStart"/>
      <w:r>
        <w:rPr>
          <w:sz w:val="28"/>
          <w:szCs w:val="28"/>
          <w:lang w:eastAsia="ru-RU"/>
        </w:rPr>
        <w:t>тис.грн</w:t>
      </w:r>
      <w:proofErr w:type="spellEnd"/>
      <w:r>
        <w:rPr>
          <w:sz w:val="28"/>
          <w:szCs w:val="28"/>
          <w:lang w:eastAsia="ru-RU"/>
        </w:rPr>
        <w:t xml:space="preserve">., в т. ч. на виконання міської «Програми реалізації Основних напрямів земельної реформи на 2017 р. в                                 м. </w:t>
      </w:r>
      <w:proofErr w:type="spellStart"/>
      <w:r>
        <w:rPr>
          <w:sz w:val="28"/>
          <w:szCs w:val="28"/>
          <w:lang w:eastAsia="ru-RU"/>
        </w:rPr>
        <w:t>Кременчуці</w:t>
      </w:r>
      <w:proofErr w:type="spellEnd"/>
      <w:r>
        <w:rPr>
          <w:sz w:val="28"/>
          <w:szCs w:val="28"/>
          <w:lang w:eastAsia="ru-RU"/>
        </w:rPr>
        <w:t xml:space="preserve">»  -  1282,3 </w:t>
      </w:r>
      <w:proofErr w:type="spellStart"/>
      <w:r>
        <w:rPr>
          <w:sz w:val="28"/>
          <w:szCs w:val="28"/>
          <w:lang w:eastAsia="ru-RU"/>
        </w:rPr>
        <w:t>тис.грн</w:t>
      </w:r>
      <w:proofErr w:type="spellEnd"/>
      <w:r>
        <w:rPr>
          <w:sz w:val="28"/>
          <w:szCs w:val="28"/>
          <w:lang w:eastAsia="ru-RU"/>
        </w:rPr>
        <w:t xml:space="preserve">., «Програми проведення  експертної </w:t>
      </w:r>
      <w:r>
        <w:rPr>
          <w:sz w:val="28"/>
          <w:szCs w:val="28"/>
          <w:lang w:eastAsia="ru-RU"/>
        </w:rPr>
        <w:lastRenderedPageBreak/>
        <w:t xml:space="preserve">грошової  оцінки земельних ділянок несільськогосподарського призначення, що підлягають продажу на 2017 рік» - 49,6 </w:t>
      </w:r>
      <w:proofErr w:type="spellStart"/>
      <w:r>
        <w:rPr>
          <w:sz w:val="28"/>
          <w:szCs w:val="28"/>
          <w:lang w:eastAsia="ru-RU"/>
        </w:rPr>
        <w:t>тис.грн</w:t>
      </w:r>
      <w:proofErr w:type="spellEnd"/>
      <w:r>
        <w:rPr>
          <w:sz w:val="28"/>
          <w:szCs w:val="28"/>
          <w:lang w:eastAsia="ru-RU"/>
        </w:rPr>
        <w:t xml:space="preserve">. Касові видатки в звітному періоді склали 117,3 </w:t>
      </w:r>
      <w:proofErr w:type="spellStart"/>
      <w:r>
        <w:rPr>
          <w:sz w:val="28"/>
          <w:szCs w:val="28"/>
          <w:lang w:eastAsia="ru-RU"/>
        </w:rPr>
        <w:t>тис.грн</w:t>
      </w:r>
      <w:proofErr w:type="spellEnd"/>
      <w:r>
        <w:rPr>
          <w:sz w:val="28"/>
          <w:szCs w:val="28"/>
          <w:lang w:eastAsia="ru-RU"/>
        </w:rPr>
        <w:t>. (13,2% річного плану). Низький показник виконання річного плану по видаткам пояснюється тривалою процедурою внесення змін до містобудівної документації, розробленням детального плану території мікрорайону. Тендери на закупівлю послуг на розроблення проектів з землеустрою будуть проводитись в 2018 році.</w:t>
      </w:r>
    </w:p>
    <w:p w:rsidR="003162EE" w:rsidRDefault="003162EE" w:rsidP="003162EE">
      <w:pPr>
        <w:ind w:firstLine="720"/>
        <w:jc w:val="both"/>
        <w:rPr>
          <w:sz w:val="28"/>
          <w:szCs w:val="28"/>
          <w:lang w:eastAsia="ru-RU"/>
        </w:rPr>
      </w:pPr>
      <w:r>
        <w:rPr>
          <w:sz w:val="28"/>
          <w:szCs w:val="28"/>
          <w:lang w:eastAsia="ru-RU"/>
        </w:rPr>
        <w:t xml:space="preserve">На підтримку малого і середнього підприємництва в бюджеті міста на 2017 рік відповідно до міської програми «Програма розвитку малого підприємництва у м. </w:t>
      </w:r>
      <w:proofErr w:type="spellStart"/>
      <w:r>
        <w:rPr>
          <w:sz w:val="28"/>
          <w:szCs w:val="28"/>
          <w:lang w:eastAsia="ru-RU"/>
        </w:rPr>
        <w:t>Кременчуці</w:t>
      </w:r>
      <w:proofErr w:type="spellEnd"/>
      <w:r>
        <w:rPr>
          <w:sz w:val="28"/>
          <w:szCs w:val="28"/>
          <w:lang w:eastAsia="ru-RU"/>
        </w:rPr>
        <w:t xml:space="preserve"> на 2015-2017 роки» передбачено асигнування в сумі 205,0 тис. грн. Касові видатки за звітний період склали 152,7 </w:t>
      </w:r>
      <w:proofErr w:type="spellStart"/>
      <w:r>
        <w:rPr>
          <w:sz w:val="28"/>
          <w:szCs w:val="28"/>
          <w:lang w:eastAsia="ru-RU"/>
        </w:rPr>
        <w:t>тис.грн</w:t>
      </w:r>
      <w:proofErr w:type="spellEnd"/>
      <w:r>
        <w:rPr>
          <w:sz w:val="28"/>
          <w:szCs w:val="28"/>
          <w:lang w:eastAsia="ru-RU"/>
        </w:rPr>
        <w:t>. (74,5% річного плану).</w:t>
      </w:r>
    </w:p>
    <w:p w:rsidR="003162EE" w:rsidRDefault="003162EE" w:rsidP="003162EE">
      <w:pPr>
        <w:ind w:firstLine="708"/>
        <w:jc w:val="both"/>
        <w:rPr>
          <w:sz w:val="28"/>
          <w:szCs w:val="28"/>
          <w:lang w:eastAsia="ru-RU"/>
        </w:rPr>
      </w:pPr>
      <w:r>
        <w:rPr>
          <w:sz w:val="28"/>
          <w:szCs w:val="28"/>
          <w:lang w:eastAsia="ru-RU"/>
        </w:rPr>
        <w:t xml:space="preserve">За рахунок коштів спеціального фонду бюджету міста (бюджету розвитку) в 2017 році на «Внески органів влади Автономної Республіки Крим та органів місцевого самоврядування у статутні фонди суб’єктів підприємницької діяльності», </w:t>
      </w:r>
      <w:r>
        <w:rPr>
          <w:noProof/>
          <w:sz w:val="28"/>
          <w:szCs w:val="28"/>
          <w:lang w:eastAsia="ru-RU"/>
        </w:rPr>
        <w:t xml:space="preserve">заплановано видатки в сумі </w:t>
      </w:r>
      <w:r>
        <w:rPr>
          <w:sz w:val="28"/>
          <w:szCs w:val="28"/>
          <w:lang w:eastAsia="ru-RU"/>
        </w:rPr>
        <w:t xml:space="preserve">32 917,5 тис. грн. , в </w:t>
      </w:r>
      <w:proofErr w:type="spellStart"/>
      <w:r>
        <w:rPr>
          <w:sz w:val="28"/>
          <w:szCs w:val="28"/>
          <w:lang w:eastAsia="ru-RU"/>
        </w:rPr>
        <w:t>т.ч</w:t>
      </w:r>
      <w:proofErr w:type="spellEnd"/>
      <w:r>
        <w:rPr>
          <w:sz w:val="28"/>
          <w:szCs w:val="28"/>
          <w:lang w:eastAsia="ru-RU"/>
        </w:rPr>
        <w:t>. для КП «</w:t>
      </w:r>
      <w:proofErr w:type="spellStart"/>
      <w:r>
        <w:rPr>
          <w:sz w:val="28"/>
          <w:szCs w:val="28"/>
          <w:lang w:eastAsia="ru-RU"/>
        </w:rPr>
        <w:t>Кременчукводоканал</w:t>
      </w:r>
      <w:proofErr w:type="spellEnd"/>
      <w:r>
        <w:rPr>
          <w:sz w:val="28"/>
          <w:szCs w:val="28"/>
          <w:lang w:eastAsia="ru-RU"/>
        </w:rPr>
        <w:t xml:space="preserve">» - 20 980,0 </w:t>
      </w:r>
      <w:proofErr w:type="spellStart"/>
      <w:r>
        <w:rPr>
          <w:sz w:val="28"/>
          <w:szCs w:val="28"/>
          <w:lang w:eastAsia="ru-RU"/>
        </w:rPr>
        <w:t>тис.грн</w:t>
      </w:r>
      <w:proofErr w:type="spellEnd"/>
      <w:r>
        <w:rPr>
          <w:sz w:val="28"/>
          <w:szCs w:val="28"/>
          <w:lang w:eastAsia="ru-RU"/>
        </w:rPr>
        <w:t>., для  КП «</w:t>
      </w:r>
      <w:proofErr w:type="spellStart"/>
      <w:r>
        <w:rPr>
          <w:sz w:val="28"/>
          <w:szCs w:val="28"/>
          <w:lang w:eastAsia="ru-RU"/>
        </w:rPr>
        <w:t>Теплоенерго</w:t>
      </w:r>
      <w:proofErr w:type="spellEnd"/>
      <w:r>
        <w:rPr>
          <w:sz w:val="28"/>
          <w:szCs w:val="28"/>
          <w:lang w:eastAsia="ru-RU"/>
        </w:rPr>
        <w:t xml:space="preserve">» - 11 937,5 </w:t>
      </w:r>
      <w:proofErr w:type="spellStart"/>
      <w:r>
        <w:rPr>
          <w:sz w:val="28"/>
          <w:szCs w:val="28"/>
          <w:lang w:eastAsia="ru-RU"/>
        </w:rPr>
        <w:t>тис.грн</w:t>
      </w:r>
      <w:proofErr w:type="spellEnd"/>
      <w:r>
        <w:rPr>
          <w:sz w:val="28"/>
          <w:szCs w:val="28"/>
          <w:lang w:eastAsia="ru-RU"/>
        </w:rPr>
        <w:t xml:space="preserve">. </w:t>
      </w:r>
      <w:r>
        <w:rPr>
          <w:noProof/>
          <w:sz w:val="28"/>
          <w:szCs w:val="28"/>
          <w:lang w:eastAsia="ru-RU"/>
        </w:rPr>
        <w:t>План виконано на 100%.</w:t>
      </w:r>
    </w:p>
    <w:p w:rsidR="003162EE" w:rsidRDefault="003162EE" w:rsidP="003162EE">
      <w:pPr>
        <w:ind w:firstLine="720"/>
        <w:jc w:val="both"/>
        <w:rPr>
          <w:sz w:val="28"/>
          <w:szCs w:val="28"/>
          <w:lang w:eastAsia="ru-RU"/>
        </w:rPr>
      </w:pPr>
    </w:p>
    <w:p w:rsidR="003162EE" w:rsidRDefault="003162EE" w:rsidP="003162EE">
      <w:pPr>
        <w:ind w:firstLine="720"/>
        <w:jc w:val="both"/>
        <w:rPr>
          <w:sz w:val="28"/>
          <w:szCs w:val="28"/>
          <w:lang w:eastAsia="ru-RU"/>
        </w:rPr>
      </w:pPr>
      <w:r>
        <w:rPr>
          <w:sz w:val="28"/>
          <w:szCs w:val="28"/>
          <w:lang w:eastAsia="ru-RU"/>
        </w:rPr>
        <w:t xml:space="preserve">На будівництво в спеціальному фонді міського бюджету (бюджет розвитку) на 2017 рік передбачено асигнування в сумі  83 612,3 </w:t>
      </w:r>
      <w:proofErr w:type="spellStart"/>
      <w:r>
        <w:rPr>
          <w:sz w:val="28"/>
          <w:szCs w:val="28"/>
          <w:lang w:eastAsia="ru-RU"/>
        </w:rPr>
        <w:t>тис.грн</w:t>
      </w:r>
      <w:proofErr w:type="spellEnd"/>
      <w:r>
        <w:rPr>
          <w:sz w:val="28"/>
          <w:szCs w:val="28"/>
          <w:lang w:eastAsia="ru-RU"/>
        </w:rPr>
        <w:t xml:space="preserve">. Касові видатки за 2017 рік  склали  70 028,4 </w:t>
      </w:r>
      <w:proofErr w:type="spellStart"/>
      <w:r>
        <w:rPr>
          <w:sz w:val="28"/>
          <w:szCs w:val="28"/>
          <w:lang w:eastAsia="ru-RU"/>
        </w:rPr>
        <w:t>тис.грн</w:t>
      </w:r>
      <w:proofErr w:type="spellEnd"/>
      <w:r>
        <w:rPr>
          <w:sz w:val="28"/>
          <w:szCs w:val="28"/>
          <w:lang w:eastAsia="ru-RU"/>
        </w:rPr>
        <w:t xml:space="preserve">., (83,8% річного плану), в </w:t>
      </w:r>
      <w:proofErr w:type="spellStart"/>
      <w:r>
        <w:rPr>
          <w:sz w:val="28"/>
          <w:szCs w:val="28"/>
          <w:lang w:eastAsia="ru-RU"/>
        </w:rPr>
        <w:t>т.ч</w:t>
      </w:r>
      <w:proofErr w:type="spellEnd"/>
      <w:r>
        <w:rPr>
          <w:sz w:val="28"/>
          <w:szCs w:val="28"/>
          <w:lang w:eastAsia="ru-RU"/>
        </w:rPr>
        <w:t>.:</w:t>
      </w:r>
    </w:p>
    <w:p w:rsidR="003162EE" w:rsidRDefault="003162EE" w:rsidP="003162EE">
      <w:pPr>
        <w:ind w:firstLine="720"/>
        <w:jc w:val="both"/>
        <w:rPr>
          <w:sz w:val="28"/>
          <w:szCs w:val="28"/>
          <w:lang w:eastAsia="ru-RU"/>
        </w:rPr>
      </w:pPr>
    </w:p>
    <w:p w:rsidR="003162EE" w:rsidRDefault="003162EE" w:rsidP="003162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ind w:firstLine="720"/>
        <w:jc w:val="both"/>
        <w:rPr>
          <w:sz w:val="28"/>
          <w:szCs w:val="28"/>
          <w:lang w:eastAsia="ru-RU"/>
        </w:rPr>
      </w:pP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t xml:space="preserve"> </w:t>
      </w:r>
      <w:r>
        <w:rPr>
          <w:sz w:val="28"/>
          <w:szCs w:val="28"/>
          <w:lang w:eastAsia="ru-RU"/>
        </w:rPr>
        <w:tab/>
        <w:t xml:space="preserve">      </w:t>
      </w:r>
      <w:proofErr w:type="spellStart"/>
      <w:r>
        <w:rPr>
          <w:sz w:val="28"/>
          <w:szCs w:val="28"/>
          <w:lang w:eastAsia="ru-RU"/>
        </w:rPr>
        <w:t>тис.грн</w:t>
      </w:r>
      <w:proofErr w:type="spellEnd"/>
      <w:r>
        <w:rPr>
          <w:sz w:val="28"/>
          <w:szCs w:val="28"/>
          <w:lang w:eastAsia="ru-RU"/>
        </w:rPr>
        <w:t xml:space="preserve">. </w:t>
      </w:r>
    </w:p>
    <w:tbl>
      <w:tblPr>
        <w:tblW w:w="9654" w:type="dxa"/>
        <w:tblInd w:w="93" w:type="dxa"/>
        <w:tblLook w:val="04A0" w:firstRow="1" w:lastRow="0" w:firstColumn="1" w:lastColumn="0" w:noHBand="0" w:noVBand="1"/>
      </w:tblPr>
      <w:tblGrid>
        <w:gridCol w:w="8095"/>
        <w:gridCol w:w="1559"/>
      </w:tblGrid>
      <w:tr w:rsidR="003162EE" w:rsidTr="003162EE">
        <w:trPr>
          <w:trHeight w:val="315"/>
        </w:trPr>
        <w:tc>
          <w:tcPr>
            <w:tcW w:w="8095" w:type="dxa"/>
            <w:tcBorders>
              <w:top w:val="single" w:sz="4" w:space="0" w:color="auto"/>
              <w:left w:val="single" w:sz="8" w:space="0" w:color="auto"/>
              <w:bottom w:val="single" w:sz="4" w:space="0" w:color="auto"/>
              <w:right w:val="single" w:sz="4" w:space="0" w:color="auto"/>
            </w:tcBorders>
            <w:hideMark/>
          </w:tcPr>
          <w:p w:rsidR="003162EE" w:rsidRDefault="003162EE">
            <w:pPr>
              <w:autoSpaceDN w:val="0"/>
              <w:jc w:val="center"/>
              <w:rPr>
                <w:b/>
                <w:sz w:val="28"/>
                <w:szCs w:val="28"/>
                <w:lang w:eastAsia="ru-RU"/>
              </w:rPr>
            </w:pPr>
            <w:r>
              <w:rPr>
                <w:b/>
                <w:sz w:val="28"/>
                <w:szCs w:val="28"/>
                <w:lang w:eastAsia="ru-RU"/>
              </w:rPr>
              <w:t xml:space="preserve">Назва </w:t>
            </w:r>
            <w:proofErr w:type="spellStart"/>
            <w:r>
              <w:rPr>
                <w:b/>
                <w:sz w:val="28"/>
                <w:szCs w:val="28"/>
                <w:lang w:eastAsia="ru-RU"/>
              </w:rPr>
              <w:t>обє’ктів</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3162EE" w:rsidRDefault="003162EE">
            <w:pPr>
              <w:overflowPunct w:val="0"/>
              <w:autoSpaceDE w:val="0"/>
              <w:autoSpaceDN w:val="0"/>
              <w:adjustRightInd w:val="0"/>
              <w:jc w:val="center"/>
              <w:rPr>
                <w:b/>
                <w:sz w:val="28"/>
                <w:szCs w:val="28"/>
                <w:lang w:eastAsia="ru-RU"/>
              </w:rPr>
            </w:pPr>
            <w:r>
              <w:rPr>
                <w:b/>
                <w:sz w:val="28"/>
                <w:szCs w:val="28"/>
                <w:lang w:eastAsia="ru-RU"/>
              </w:rPr>
              <w:t>Касові видатки</w:t>
            </w:r>
          </w:p>
        </w:tc>
      </w:tr>
      <w:tr w:rsidR="003162EE" w:rsidTr="003162EE">
        <w:trPr>
          <w:trHeight w:val="600"/>
        </w:trPr>
        <w:tc>
          <w:tcPr>
            <w:tcW w:w="8095" w:type="dxa"/>
            <w:tcBorders>
              <w:top w:val="single" w:sz="4" w:space="0" w:color="auto"/>
              <w:left w:val="single" w:sz="8" w:space="0" w:color="auto"/>
              <w:bottom w:val="single" w:sz="4" w:space="0" w:color="auto"/>
              <w:right w:val="single" w:sz="4" w:space="0" w:color="auto"/>
            </w:tcBorders>
            <w:vAlign w:val="center"/>
            <w:hideMark/>
          </w:tcPr>
          <w:p w:rsidR="003162EE" w:rsidRDefault="003162EE">
            <w:pPr>
              <w:autoSpaceDN w:val="0"/>
              <w:rPr>
                <w:sz w:val="28"/>
                <w:szCs w:val="28"/>
                <w:lang w:eastAsia="ru-RU"/>
              </w:rPr>
            </w:pPr>
            <w:r>
              <w:rPr>
                <w:sz w:val="28"/>
                <w:szCs w:val="28"/>
                <w:lang w:eastAsia="ru-RU"/>
              </w:rPr>
              <w:t xml:space="preserve">Реконструкція міського парку культури та відпочинку «Придніпровський» в   м. </w:t>
            </w:r>
            <w:proofErr w:type="spellStart"/>
            <w:r>
              <w:rPr>
                <w:sz w:val="28"/>
                <w:szCs w:val="28"/>
                <w:lang w:eastAsia="ru-RU"/>
              </w:rPr>
              <w:t>Кременчуці</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3162EE" w:rsidRDefault="003162EE">
            <w:pPr>
              <w:overflowPunct w:val="0"/>
              <w:autoSpaceDE w:val="0"/>
              <w:autoSpaceDN w:val="0"/>
              <w:adjustRightInd w:val="0"/>
              <w:jc w:val="center"/>
              <w:rPr>
                <w:sz w:val="28"/>
                <w:szCs w:val="28"/>
                <w:lang w:eastAsia="ru-RU"/>
              </w:rPr>
            </w:pPr>
            <w:r>
              <w:rPr>
                <w:sz w:val="28"/>
                <w:szCs w:val="28"/>
                <w:lang w:eastAsia="ru-RU"/>
              </w:rPr>
              <w:t>7 177,0</w:t>
            </w:r>
          </w:p>
        </w:tc>
      </w:tr>
      <w:tr w:rsidR="003162EE" w:rsidTr="003162EE">
        <w:trPr>
          <w:trHeight w:val="600"/>
        </w:trPr>
        <w:tc>
          <w:tcPr>
            <w:tcW w:w="8095" w:type="dxa"/>
            <w:tcBorders>
              <w:top w:val="nil"/>
              <w:left w:val="single" w:sz="8" w:space="0" w:color="auto"/>
              <w:bottom w:val="single" w:sz="4" w:space="0" w:color="auto"/>
              <w:right w:val="single" w:sz="4" w:space="0" w:color="auto"/>
            </w:tcBorders>
            <w:vAlign w:val="center"/>
            <w:hideMark/>
          </w:tcPr>
          <w:p w:rsidR="003162EE" w:rsidRDefault="003162EE">
            <w:pPr>
              <w:autoSpaceDN w:val="0"/>
              <w:rPr>
                <w:sz w:val="28"/>
                <w:szCs w:val="28"/>
                <w:lang w:eastAsia="ru-RU"/>
              </w:rPr>
            </w:pPr>
            <w:r>
              <w:rPr>
                <w:sz w:val="28"/>
                <w:szCs w:val="28"/>
                <w:lang w:eastAsia="ru-RU"/>
              </w:rPr>
              <w:t xml:space="preserve">Реконструкція будівлі під центр муніципальних послуг по вул. Гагаріна,14 в   м. </w:t>
            </w:r>
            <w:proofErr w:type="spellStart"/>
            <w:r>
              <w:rPr>
                <w:sz w:val="28"/>
                <w:szCs w:val="28"/>
                <w:lang w:eastAsia="ru-RU"/>
              </w:rPr>
              <w:t>Кременчуці</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3162EE" w:rsidRDefault="003162EE">
            <w:pPr>
              <w:overflowPunct w:val="0"/>
              <w:autoSpaceDE w:val="0"/>
              <w:autoSpaceDN w:val="0"/>
              <w:adjustRightInd w:val="0"/>
              <w:jc w:val="center"/>
              <w:rPr>
                <w:sz w:val="28"/>
                <w:szCs w:val="28"/>
                <w:lang w:eastAsia="ru-RU"/>
              </w:rPr>
            </w:pPr>
            <w:r>
              <w:rPr>
                <w:sz w:val="28"/>
                <w:szCs w:val="28"/>
                <w:lang w:eastAsia="ru-RU"/>
              </w:rPr>
              <w:t>18 880,3</w:t>
            </w:r>
          </w:p>
        </w:tc>
      </w:tr>
      <w:tr w:rsidR="003162EE" w:rsidTr="003162EE">
        <w:trPr>
          <w:trHeight w:val="600"/>
        </w:trPr>
        <w:tc>
          <w:tcPr>
            <w:tcW w:w="8095" w:type="dxa"/>
            <w:tcBorders>
              <w:top w:val="nil"/>
              <w:left w:val="single" w:sz="8" w:space="0" w:color="auto"/>
              <w:bottom w:val="single" w:sz="4" w:space="0" w:color="auto"/>
              <w:right w:val="single" w:sz="4" w:space="0" w:color="auto"/>
            </w:tcBorders>
            <w:vAlign w:val="center"/>
            <w:hideMark/>
          </w:tcPr>
          <w:p w:rsidR="003162EE" w:rsidRDefault="003162EE">
            <w:pPr>
              <w:autoSpaceDN w:val="0"/>
              <w:rPr>
                <w:sz w:val="28"/>
                <w:szCs w:val="28"/>
                <w:lang w:eastAsia="ru-RU"/>
              </w:rPr>
            </w:pPr>
            <w:r>
              <w:rPr>
                <w:sz w:val="28"/>
                <w:szCs w:val="28"/>
                <w:lang w:eastAsia="ru-RU"/>
              </w:rPr>
              <w:t xml:space="preserve">Субвенція на соціально-економічний розвиток, реконструкція будівлі під центр муніципальних послуг по вул. Гагаріна,14 в   м. </w:t>
            </w:r>
            <w:proofErr w:type="spellStart"/>
            <w:r>
              <w:rPr>
                <w:sz w:val="28"/>
                <w:szCs w:val="28"/>
                <w:lang w:eastAsia="ru-RU"/>
              </w:rPr>
              <w:t>Кременчуці</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3162EE" w:rsidRDefault="003162EE">
            <w:pPr>
              <w:overflowPunct w:val="0"/>
              <w:autoSpaceDE w:val="0"/>
              <w:autoSpaceDN w:val="0"/>
              <w:adjustRightInd w:val="0"/>
              <w:jc w:val="center"/>
              <w:rPr>
                <w:sz w:val="28"/>
                <w:szCs w:val="28"/>
                <w:lang w:eastAsia="ru-RU"/>
              </w:rPr>
            </w:pPr>
            <w:r>
              <w:rPr>
                <w:sz w:val="28"/>
                <w:szCs w:val="28"/>
                <w:lang w:eastAsia="ru-RU"/>
              </w:rPr>
              <w:t>3 000,0</w:t>
            </w:r>
          </w:p>
        </w:tc>
      </w:tr>
      <w:tr w:rsidR="003162EE" w:rsidTr="003162EE">
        <w:trPr>
          <w:trHeight w:val="330"/>
        </w:trPr>
        <w:tc>
          <w:tcPr>
            <w:tcW w:w="8095" w:type="dxa"/>
            <w:tcBorders>
              <w:top w:val="single" w:sz="4" w:space="0" w:color="auto"/>
              <w:left w:val="single" w:sz="8" w:space="0" w:color="auto"/>
              <w:bottom w:val="single" w:sz="4" w:space="0" w:color="auto"/>
              <w:right w:val="single" w:sz="4" w:space="0" w:color="auto"/>
            </w:tcBorders>
            <w:vAlign w:val="center"/>
            <w:hideMark/>
          </w:tcPr>
          <w:p w:rsidR="003162EE" w:rsidRDefault="003162EE">
            <w:pPr>
              <w:autoSpaceDN w:val="0"/>
              <w:rPr>
                <w:sz w:val="28"/>
                <w:szCs w:val="28"/>
                <w:lang w:eastAsia="ru-RU"/>
              </w:rPr>
            </w:pPr>
            <w:r>
              <w:rPr>
                <w:sz w:val="28"/>
                <w:szCs w:val="28"/>
                <w:lang w:eastAsia="ru-RU"/>
              </w:rPr>
              <w:t xml:space="preserve">Субвенція з обласного бюджету на будівництво дитячих майданчиків </w:t>
            </w:r>
          </w:p>
        </w:tc>
        <w:tc>
          <w:tcPr>
            <w:tcW w:w="1559" w:type="dxa"/>
            <w:tcBorders>
              <w:top w:val="single" w:sz="4" w:space="0" w:color="auto"/>
              <w:left w:val="single" w:sz="4" w:space="0" w:color="auto"/>
              <w:bottom w:val="single" w:sz="4" w:space="0" w:color="auto"/>
              <w:right w:val="single" w:sz="4" w:space="0" w:color="auto"/>
            </w:tcBorders>
            <w:vAlign w:val="center"/>
            <w:hideMark/>
          </w:tcPr>
          <w:p w:rsidR="003162EE" w:rsidRDefault="003162EE">
            <w:pPr>
              <w:overflowPunct w:val="0"/>
              <w:autoSpaceDE w:val="0"/>
              <w:autoSpaceDN w:val="0"/>
              <w:adjustRightInd w:val="0"/>
              <w:jc w:val="center"/>
              <w:rPr>
                <w:sz w:val="28"/>
                <w:szCs w:val="28"/>
                <w:lang w:eastAsia="ru-RU"/>
              </w:rPr>
            </w:pPr>
            <w:r>
              <w:rPr>
                <w:sz w:val="28"/>
                <w:szCs w:val="28"/>
                <w:lang w:eastAsia="ru-RU"/>
              </w:rPr>
              <w:t>2 882,5</w:t>
            </w:r>
          </w:p>
        </w:tc>
      </w:tr>
      <w:tr w:rsidR="003162EE" w:rsidTr="003162EE">
        <w:trPr>
          <w:trHeight w:val="433"/>
        </w:trPr>
        <w:tc>
          <w:tcPr>
            <w:tcW w:w="8095" w:type="dxa"/>
            <w:tcBorders>
              <w:top w:val="nil"/>
              <w:left w:val="single" w:sz="8" w:space="0" w:color="auto"/>
              <w:bottom w:val="single" w:sz="4" w:space="0" w:color="auto"/>
              <w:right w:val="single" w:sz="4" w:space="0" w:color="auto"/>
            </w:tcBorders>
            <w:vAlign w:val="center"/>
            <w:hideMark/>
          </w:tcPr>
          <w:p w:rsidR="003162EE" w:rsidRDefault="003162EE">
            <w:pPr>
              <w:autoSpaceDN w:val="0"/>
              <w:rPr>
                <w:sz w:val="28"/>
                <w:szCs w:val="28"/>
                <w:lang w:eastAsia="ru-RU"/>
              </w:rPr>
            </w:pPr>
            <w:r>
              <w:rPr>
                <w:sz w:val="28"/>
                <w:szCs w:val="28"/>
                <w:lang w:eastAsia="ru-RU"/>
              </w:rPr>
              <w:t xml:space="preserve">Реконструкція (улаштування) теплоізоляції фасадів житлових будинків </w:t>
            </w:r>
          </w:p>
        </w:tc>
        <w:tc>
          <w:tcPr>
            <w:tcW w:w="1559" w:type="dxa"/>
            <w:tcBorders>
              <w:top w:val="single" w:sz="4" w:space="0" w:color="auto"/>
              <w:left w:val="single" w:sz="4" w:space="0" w:color="auto"/>
              <w:bottom w:val="single" w:sz="4" w:space="0" w:color="auto"/>
              <w:right w:val="single" w:sz="4" w:space="0" w:color="auto"/>
            </w:tcBorders>
            <w:vAlign w:val="center"/>
            <w:hideMark/>
          </w:tcPr>
          <w:p w:rsidR="003162EE" w:rsidRDefault="003162EE">
            <w:pPr>
              <w:overflowPunct w:val="0"/>
              <w:autoSpaceDE w:val="0"/>
              <w:autoSpaceDN w:val="0"/>
              <w:adjustRightInd w:val="0"/>
              <w:jc w:val="center"/>
              <w:rPr>
                <w:sz w:val="28"/>
                <w:szCs w:val="28"/>
                <w:lang w:eastAsia="ru-RU"/>
              </w:rPr>
            </w:pPr>
            <w:r>
              <w:rPr>
                <w:sz w:val="28"/>
                <w:szCs w:val="28"/>
                <w:lang w:eastAsia="ru-RU"/>
              </w:rPr>
              <w:t>1 792,5</w:t>
            </w:r>
          </w:p>
        </w:tc>
      </w:tr>
      <w:tr w:rsidR="003162EE" w:rsidTr="003162EE">
        <w:trPr>
          <w:trHeight w:val="412"/>
        </w:trPr>
        <w:tc>
          <w:tcPr>
            <w:tcW w:w="8095" w:type="dxa"/>
            <w:tcBorders>
              <w:top w:val="nil"/>
              <w:left w:val="single" w:sz="8" w:space="0" w:color="auto"/>
              <w:bottom w:val="single" w:sz="4" w:space="0" w:color="auto"/>
              <w:right w:val="single" w:sz="4" w:space="0" w:color="auto"/>
            </w:tcBorders>
            <w:vAlign w:val="center"/>
            <w:hideMark/>
          </w:tcPr>
          <w:p w:rsidR="003162EE" w:rsidRDefault="003162EE">
            <w:pPr>
              <w:autoSpaceDN w:val="0"/>
              <w:rPr>
                <w:sz w:val="28"/>
                <w:szCs w:val="28"/>
                <w:lang w:eastAsia="ru-RU"/>
              </w:rPr>
            </w:pPr>
            <w:r>
              <w:rPr>
                <w:sz w:val="28"/>
                <w:szCs w:val="28"/>
                <w:lang w:eastAsia="ru-RU"/>
              </w:rPr>
              <w:t xml:space="preserve">Будівництво сектору А 5-ої черги </w:t>
            </w:r>
            <w:proofErr w:type="spellStart"/>
            <w:r>
              <w:rPr>
                <w:sz w:val="28"/>
                <w:szCs w:val="28"/>
                <w:lang w:eastAsia="ru-RU"/>
              </w:rPr>
              <w:t>Свіштовського</w:t>
            </w:r>
            <w:proofErr w:type="spellEnd"/>
            <w:r>
              <w:rPr>
                <w:sz w:val="28"/>
                <w:szCs w:val="28"/>
                <w:lang w:eastAsia="ru-RU"/>
              </w:rPr>
              <w:t xml:space="preserve"> кладовища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3162EE" w:rsidRDefault="003162EE">
            <w:pPr>
              <w:overflowPunct w:val="0"/>
              <w:autoSpaceDE w:val="0"/>
              <w:autoSpaceDN w:val="0"/>
              <w:adjustRightInd w:val="0"/>
              <w:jc w:val="center"/>
              <w:rPr>
                <w:sz w:val="28"/>
                <w:szCs w:val="28"/>
                <w:lang w:eastAsia="ru-RU"/>
              </w:rPr>
            </w:pPr>
            <w:r>
              <w:rPr>
                <w:sz w:val="28"/>
                <w:szCs w:val="28"/>
                <w:lang w:eastAsia="ru-RU"/>
              </w:rPr>
              <w:t>4 503,1</w:t>
            </w:r>
          </w:p>
        </w:tc>
      </w:tr>
      <w:tr w:rsidR="003162EE" w:rsidTr="003162EE">
        <w:trPr>
          <w:trHeight w:val="630"/>
        </w:trPr>
        <w:tc>
          <w:tcPr>
            <w:tcW w:w="8095" w:type="dxa"/>
            <w:tcBorders>
              <w:top w:val="single" w:sz="4" w:space="0" w:color="auto"/>
              <w:left w:val="single" w:sz="8" w:space="0" w:color="auto"/>
              <w:bottom w:val="single" w:sz="4" w:space="0" w:color="auto"/>
              <w:right w:val="single" w:sz="4" w:space="0" w:color="auto"/>
            </w:tcBorders>
            <w:vAlign w:val="center"/>
            <w:hideMark/>
          </w:tcPr>
          <w:p w:rsidR="003162EE" w:rsidRDefault="003162EE">
            <w:pPr>
              <w:autoSpaceDN w:val="0"/>
              <w:rPr>
                <w:sz w:val="28"/>
                <w:szCs w:val="28"/>
                <w:lang w:eastAsia="ru-RU"/>
              </w:rPr>
            </w:pPr>
            <w:r>
              <w:rPr>
                <w:sz w:val="28"/>
                <w:szCs w:val="28"/>
                <w:lang w:eastAsia="ru-RU"/>
              </w:rPr>
              <w:t xml:space="preserve">Програма забезпечення житлом учасників антитерористичної операції та членів їх сімей на 2017-2020 роки у </w:t>
            </w:r>
            <w:proofErr w:type="spellStart"/>
            <w:r>
              <w:rPr>
                <w:sz w:val="28"/>
                <w:szCs w:val="28"/>
                <w:lang w:eastAsia="ru-RU"/>
              </w:rPr>
              <w:t>м.Кременчуці</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3162EE" w:rsidRDefault="003162EE">
            <w:pPr>
              <w:overflowPunct w:val="0"/>
              <w:autoSpaceDE w:val="0"/>
              <w:autoSpaceDN w:val="0"/>
              <w:adjustRightInd w:val="0"/>
              <w:jc w:val="center"/>
              <w:rPr>
                <w:sz w:val="28"/>
                <w:szCs w:val="28"/>
                <w:lang w:eastAsia="ru-RU"/>
              </w:rPr>
            </w:pPr>
            <w:r>
              <w:rPr>
                <w:sz w:val="28"/>
                <w:szCs w:val="28"/>
                <w:lang w:eastAsia="ru-RU"/>
              </w:rPr>
              <w:t>1 996,0</w:t>
            </w:r>
          </w:p>
        </w:tc>
      </w:tr>
      <w:tr w:rsidR="003162EE" w:rsidTr="003162EE">
        <w:trPr>
          <w:trHeight w:val="315"/>
        </w:trPr>
        <w:tc>
          <w:tcPr>
            <w:tcW w:w="8095" w:type="dxa"/>
            <w:tcBorders>
              <w:top w:val="nil"/>
              <w:left w:val="single" w:sz="8" w:space="0" w:color="auto"/>
              <w:bottom w:val="single" w:sz="4" w:space="0" w:color="auto"/>
              <w:right w:val="single" w:sz="4" w:space="0" w:color="auto"/>
            </w:tcBorders>
            <w:noWrap/>
            <w:vAlign w:val="center"/>
            <w:hideMark/>
          </w:tcPr>
          <w:p w:rsidR="003162EE" w:rsidRDefault="003162EE">
            <w:pPr>
              <w:autoSpaceDN w:val="0"/>
              <w:rPr>
                <w:sz w:val="28"/>
                <w:szCs w:val="28"/>
                <w:lang w:eastAsia="ru-RU"/>
              </w:rPr>
            </w:pPr>
            <w:r>
              <w:rPr>
                <w:sz w:val="28"/>
                <w:szCs w:val="28"/>
                <w:lang w:eastAsia="ru-RU"/>
              </w:rPr>
              <w:t>Субвенція з обласного бюджету на забезпечення житлом учасників АТО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3162EE" w:rsidRDefault="003162EE">
            <w:pPr>
              <w:overflowPunct w:val="0"/>
              <w:autoSpaceDE w:val="0"/>
              <w:autoSpaceDN w:val="0"/>
              <w:adjustRightInd w:val="0"/>
              <w:jc w:val="center"/>
              <w:rPr>
                <w:sz w:val="28"/>
                <w:szCs w:val="28"/>
                <w:lang w:eastAsia="ru-RU"/>
              </w:rPr>
            </w:pPr>
            <w:r>
              <w:rPr>
                <w:sz w:val="28"/>
                <w:szCs w:val="28"/>
                <w:lang w:eastAsia="ru-RU"/>
              </w:rPr>
              <w:t>1 996,0</w:t>
            </w:r>
          </w:p>
        </w:tc>
      </w:tr>
      <w:tr w:rsidR="003162EE" w:rsidTr="003162EE">
        <w:trPr>
          <w:trHeight w:val="315"/>
        </w:trPr>
        <w:tc>
          <w:tcPr>
            <w:tcW w:w="8095" w:type="dxa"/>
            <w:tcBorders>
              <w:top w:val="nil"/>
              <w:left w:val="single" w:sz="8" w:space="0" w:color="auto"/>
              <w:bottom w:val="single" w:sz="4" w:space="0" w:color="auto"/>
              <w:right w:val="single" w:sz="4" w:space="0" w:color="auto"/>
            </w:tcBorders>
            <w:noWrap/>
            <w:vAlign w:val="center"/>
            <w:hideMark/>
          </w:tcPr>
          <w:p w:rsidR="003162EE" w:rsidRDefault="003162EE">
            <w:pPr>
              <w:autoSpaceDN w:val="0"/>
              <w:rPr>
                <w:sz w:val="28"/>
                <w:szCs w:val="28"/>
                <w:lang w:eastAsia="ru-RU"/>
              </w:rPr>
            </w:pPr>
            <w:r>
              <w:rPr>
                <w:sz w:val="28"/>
                <w:szCs w:val="28"/>
                <w:lang w:eastAsia="ru-RU"/>
              </w:rPr>
              <w:t xml:space="preserve">Придбання квартири для </w:t>
            </w:r>
            <w:proofErr w:type="spellStart"/>
            <w:r>
              <w:rPr>
                <w:sz w:val="28"/>
                <w:szCs w:val="28"/>
                <w:lang w:eastAsia="ru-RU"/>
              </w:rPr>
              <w:t>сімї</w:t>
            </w:r>
            <w:proofErr w:type="spellEnd"/>
            <w:r>
              <w:rPr>
                <w:sz w:val="28"/>
                <w:szCs w:val="28"/>
                <w:lang w:eastAsia="ru-RU"/>
              </w:rPr>
              <w:t xml:space="preserve"> учасника антитерористичної операції Фень Л.О.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3162EE" w:rsidRDefault="003162EE">
            <w:pPr>
              <w:overflowPunct w:val="0"/>
              <w:autoSpaceDE w:val="0"/>
              <w:autoSpaceDN w:val="0"/>
              <w:adjustRightInd w:val="0"/>
              <w:jc w:val="center"/>
              <w:rPr>
                <w:sz w:val="28"/>
                <w:szCs w:val="28"/>
                <w:lang w:eastAsia="ru-RU"/>
              </w:rPr>
            </w:pPr>
            <w:r>
              <w:rPr>
                <w:sz w:val="28"/>
                <w:szCs w:val="28"/>
                <w:lang w:eastAsia="ru-RU"/>
              </w:rPr>
              <w:t>470,0</w:t>
            </w:r>
          </w:p>
        </w:tc>
      </w:tr>
      <w:tr w:rsidR="003162EE" w:rsidTr="003162EE">
        <w:trPr>
          <w:trHeight w:val="315"/>
        </w:trPr>
        <w:tc>
          <w:tcPr>
            <w:tcW w:w="8095" w:type="dxa"/>
            <w:tcBorders>
              <w:top w:val="nil"/>
              <w:left w:val="single" w:sz="8" w:space="0" w:color="auto"/>
              <w:bottom w:val="single" w:sz="4" w:space="0" w:color="auto"/>
              <w:right w:val="single" w:sz="4" w:space="0" w:color="auto"/>
            </w:tcBorders>
            <w:noWrap/>
            <w:vAlign w:val="center"/>
            <w:hideMark/>
          </w:tcPr>
          <w:p w:rsidR="003162EE" w:rsidRDefault="003162EE">
            <w:pPr>
              <w:autoSpaceDN w:val="0"/>
              <w:rPr>
                <w:sz w:val="28"/>
                <w:szCs w:val="28"/>
                <w:lang w:eastAsia="ru-RU"/>
              </w:rPr>
            </w:pPr>
            <w:r>
              <w:rPr>
                <w:sz w:val="28"/>
                <w:szCs w:val="28"/>
                <w:lang w:eastAsia="ru-RU"/>
              </w:rPr>
              <w:t>Інші об</w:t>
            </w:r>
            <w:r>
              <w:rPr>
                <w:sz w:val="28"/>
                <w:szCs w:val="28"/>
                <w:lang w:val="en-US" w:eastAsia="ru-RU"/>
              </w:rPr>
              <w:t>’</w:t>
            </w:r>
            <w:proofErr w:type="spellStart"/>
            <w:r>
              <w:rPr>
                <w:sz w:val="28"/>
                <w:szCs w:val="28"/>
                <w:lang w:eastAsia="ru-RU"/>
              </w:rPr>
              <w:t>єкти</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rsidR="003162EE" w:rsidRDefault="003162EE">
            <w:pPr>
              <w:overflowPunct w:val="0"/>
              <w:autoSpaceDE w:val="0"/>
              <w:autoSpaceDN w:val="0"/>
              <w:adjustRightInd w:val="0"/>
              <w:jc w:val="center"/>
              <w:rPr>
                <w:sz w:val="28"/>
                <w:szCs w:val="28"/>
                <w:lang w:eastAsia="ru-RU"/>
              </w:rPr>
            </w:pPr>
          </w:p>
        </w:tc>
      </w:tr>
    </w:tbl>
    <w:p w:rsidR="003162EE" w:rsidRDefault="003162EE" w:rsidP="003162EE">
      <w:pPr>
        <w:ind w:firstLine="720"/>
        <w:jc w:val="both"/>
        <w:rPr>
          <w:sz w:val="28"/>
          <w:szCs w:val="28"/>
          <w:lang w:eastAsia="ru-RU"/>
        </w:rPr>
      </w:pPr>
    </w:p>
    <w:p w:rsidR="003162EE" w:rsidRDefault="003162EE" w:rsidP="003162EE">
      <w:pPr>
        <w:ind w:firstLine="720"/>
        <w:jc w:val="both"/>
        <w:rPr>
          <w:sz w:val="28"/>
          <w:szCs w:val="28"/>
          <w:lang w:eastAsia="ru-RU"/>
        </w:rPr>
      </w:pPr>
      <w:r>
        <w:rPr>
          <w:sz w:val="28"/>
          <w:szCs w:val="28"/>
          <w:lang w:eastAsia="ru-RU"/>
        </w:rPr>
        <w:lastRenderedPageBreak/>
        <w:t xml:space="preserve">За рахунок субвенції з державного бюджету місцевим бюджетам на виплату грошової компенсації за належні для отримання жилі приміщення для сімей загиблих осіб, визначених абзацами 5-8 пункту 1 статті 10, а також для осіб з інвалідністю І-ІІ групи, визначених пунктами 11-14 частини другої статті 7 Закону України «Про статус ветеранів війни, гарантії їх соціального захисту», та осіб, які втратили функціональні можливості нижніх кінцівок, інвалідність яких настала внаслідок поранення, контузії, каліцтва або захворювання, одержаних під час безпосередньої участі в антитерористичній операції, та потребують поліпшення житлових умов заплановані кошти в сумі                        4 559,1 </w:t>
      </w:r>
      <w:proofErr w:type="spellStart"/>
      <w:r>
        <w:rPr>
          <w:sz w:val="28"/>
          <w:szCs w:val="28"/>
          <w:lang w:eastAsia="ru-RU"/>
        </w:rPr>
        <w:t>тис.грн</w:t>
      </w:r>
      <w:proofErr w:type="spellEnd"/>
      <w:r>
        <w:rPr>
          <w:sz w:val="28"/>
          <w:szCs w:val="28"/>
          <w:lang w:eastAsia="ru-RU"/>
        </w:rPr>
        <w:t>., які використані на призначення грошової компенсації для самостійного придбання  6 квартир особами з інвалідністю І-ІІ групи. Залишок невикористаної субвенції в сумі 4,23 грн. повернуто до державного бюджету.</w:t>
      </w:r>
    </w:p>
    <w:p w:rsidR="003162EE" w:rsidRDefault="003162EE" w:rsidP="003162EE">
      <w:pPr>
        <w:ind w:firstLine="567"/>
        <w:jc w:val="both"/>
        <w:rPr>
          <w:sz w:val="28"/>
          <w:szCs w:val="28"/>
          <w:lang w:eastAsia="ru-RU"/>
        </w:rPr>
      </w:pPr>
      <w:r>
        <w:rPr>
          <w:sz w:val="28"/>
          <w:szCs w:val="28"/>
          <w:lang w:eastAsia="ru-RU"/>
        </w:rPr>
        <w:t>В міському бюджеті на 2017 рік</w:t>
      </w:r>
      <w:r>
        <w:rPr>
          <w:b/>
          <w:sz w:val="28"/>
          <w:szCs w:val="28"/>
          <w:lang w:eastAsia="ru-RU"/>
        </w:rPr>
        <w:t xml:space="preserve"> </w:t>
      </w:r>
      <w:r>
        <w:rPr>
          <w:sz w:val="28"/>
          <w:szCs w:val="28"/>
          <w:lang w:eastAsia="ru-RU"/>
        </w:rPr>
        <w:t xml:space="preserve">передбачено надати пільгові довгострокові кредити  громадянам на будівництво (реконструкцію) та придбання житла в сумі 3 073,6 </w:t>
      </w:r>
      <w:proofErr w:type="spellStart"/>
      <w:r>
        <w:rPr>
          <w:sz w:val="28"/>
          <w:szCs w:val="28"/>
          <w:lang w:eastAsia="ru-RU"/>
        </w:rPr>
        <w:t>тис.грн</w:t>
      </w:r>
      <w:proofErr w:type="spellEnd"/>
      <w:r>
        <w:rPr>
          <w:sz w:val="28"/>
          <w:szCs w:val="28"/>
          <w:lang w:eastAsia="ru-RU"/>
        </w:rPr>
        <w:t>. План виконано на 100%. В 2017 році надано кредити на придбання 6 квартир.</w:t>
      </w:r>
    </w:p>
    <w:p w:rsidR="003162EE" w:rsidRDefault="003162EE" w:rsidP="003162EE">
      <w:pPr>
        <w:ind w:firstLine="567"/>
        <w:jc w:val="both"/>
        <w:rPr>
          <w:sz w:val="28"/>
          <w:szCs w:val="28"/>
          <w:lang w:eastAsia="ru-RU"/>
        </w:rPr>
      </w:pPr>
      <w:r>
        <w:rPr>
          <w:sz w:val="28"/>
          <w:szCs w:val="28"/>
          <w:lang w:eastAsia="ru-RU"/>
        </w:rPr>
        <w:t xml:space="preserve">Повернення раніше наданих кредитів та відсотків за користування ними при плані 730,0 </w:t>
      </w:r>
      <w:proofErr w:type="spellStart"/>
      <w:r>
        <w:rPr>
          <w:sz w:val="28"/>
          <w:szCs w:val="28"/>
          <w:lang w:eastAsia="ru-RU"/>
        </w:rPr>
        <w:t>тис.грн</w:t>
      </w:r>
      <w:proofErr w:type="spellEnd"/>
      <w:r>
        <w:rPr>
          <w:sz w:val="28"/>
          <w:szCs w:val="28"/>
          <w:lang w:eastAsia="ru-RU"/>
        </w:rPr>
        <w:t>. виконано на 100%.</w:t>
      </w:r>
    </w:p>
    <w:p w:rsidR="003162EE" w:rsidRDefault="003162EE" w:rsidP="003162EE">
      <w:pPr>
        <w:ind w:firstLine="567"/>
        <w:jc w:val="both"/>
        <w:rPr>
          <w:sz w:val="28"/>
          <w:szCs w:val="28"/>
          <w:lang w:eastAsia="ru-RU"/>
        </w:rPr>
      </w:pPr>
      <w:r>
        <w:rPr>
          <w:sz w:val="28"/>
          <w:szCs w:val="28"/>
          <w:lang w:eastAsia="ru-RU"/>
        </w:rPr>
        <w:t>В міському бюджеті на 2017 рік</w:t>
      </w:r>
      <w:r>
        <w:rPr>
          <w:b/>
          <w:sz w:val="28"/>
          <w:szCs w:val="28"/>
          <w:lang w:eastAsia="ru-RU"/>
        </w:rPr>
        <w:t xml:space="preserve"> </w:t>
      </w:r>
      <w:r>
        <w:rPr>
          <w:sz w:val="28"/>
          <w:szCs w:val="28"/>
          <w:lang w:eastAsia="ru-RU"/>
        </w:rPr>
        <w:t xml:space="preserve">передбачено витрати, пов’язані з наданням та обслуговуванням пільгових довгострокових кредитів, наданих громадянам на будівництво (реконструкцію) та придбання житла в сумі </w:t>
      </w:r>
      <w:r w:rsidR="000B2051">
        <w:rPr>
          <w:sz w:val="28"/>
          <w:szCs w:val="28"/>
          <w:lang w:eastAsia="ru-RU"/>
        </w:rPr>
        <w:t xml:space="preserve">                </w:t>
      </w:r>
      <w:r>
        <w:rPr>
          <w:sz w:val="28"/>
          <w:szCs w:val="28"/>
          <w:lang w:eastAsia="ru-RU"/>
        </w:rPr>
        <w:t xml:space="preserve">184,4 </w:t>
      </w:r>
      <w:proofErr w:type="spellStart"/>
      <w:r>
        <w:rPr>
          <w:sz w:val="28"/>
          <w:szCs w:val="28"/>
          <w:lang w:eastAsia="ru-RU"/>
        </w:rPr>
        <w:t>тис.грн</w:t>
      </w:r>
      <w:proofErr w:type="spellEnd"/>
      <w:r>
        <w:rPr>
          <w:sz w:val="28"/>
          <w:szCs w:val="28"/>
          <w:lang w:eastAsia="ru-RU"/>
        </w:rPr>
        <w:t>. План виконано на 100%.</w:t>
      </w:r>
    </w:p>
    <w:p w:rsidR="003162EE" w:rsidRDefault="003162EE" w:rsidP="003162EE">
      <w:pPr>
        <w:ind w:firstLine="567"/>
        <w:jc w:val="both"/>
        <w:rPr>
          <w:sz w:val="28"/>
          <w:szCs w:val="28"/>
          <w:lang w:eastAsia="ru-RU"/>
        </w:rPr>
      </w:pPr>
      <w:r>
        <w:rPr>
          <w:sz w:val="28"/>
          <w:szCs w:val="28"/>
          <w:lang w:eastAsia="ru-RU"/>
        </w:rPr>
        <w:t xml:space="preserve">Відповідно до статті VІ Договору про </w:t>
      </w:r>
      <w:proofErr w:type="spellStart"/>
      <w:r>
        <w:rPr>
          <w:sz w:val="28"/>
          <w:szCs w:val="28"/>
          <w:lang w:eastAsia="ru-RU"/>
        </w:rPr>
        <w:t>субкредитування</w:t>
      </w:r>
      <w:proofErr w:type="spellEnd"/>
      <w:r>
        <w:rPr>
          <w:sz w:val="28"/>
          <w:szCs w:val="28"/>
          <w:lang w:eastAsia="ru-RU"/>
        </w:rPr>
        <w:t xml:space="preserve"> №28010-02/11   від 27.01.2010 року між Міністерством фінансів України, Міністерством з питань житлово - комунального господарства України та комунальним підприємством «</w:t>
      </w:r>
      <w:proofErr w:type="spellStart"/>
      <w:r>
        <w:rPr>
          <w:sz w:val="28"/>
          <w:szCs w:val="28"/>
          <w:lang w:eastAsia="ru-RU"/>
        </w:rPr>
        <w:t>Кременчукводоканал</w:t>
      </w:r>
      <w:proofErr w:type="spellEnd"/>
      <w:r>
        <w:rPr>
          <w:sz w:val="28"/>
          <w:szCs w:val="28"/>
          <w:lang w:eastAsia="ru-RU"/>
        </w:rPr>
        <w:t xml:space="preserve">» «Про використання сум позики, що надається Україні Міжнародним банком реконструкції та розвитку» (Угода про позику «Проект розвитку міської інфраструктури» №4869-UA від 26.05.2008 року) засобом забезпечення виконання </w:t>
      </w:r>
      <w:proofErr w:type="spellStart"/>
      <w:r>
        <w:rPr>
          <w:sz w:val="28"/>
          <w:szCs w:val="28"/>
          <w:lang w:eastAsia="ru-RU"/>
        </w:rPr>
        <w:t>субпозичальником</w:t>
      </w:r>
      <w:proofErr w:type="spellEnd"/>
      <w:r>
        <w:rPr>
          <w:sz w:val="28"/>
          <w:szCs w:val="28"/>
          <w:lang w:eastAsia="ru-RU"/>
        </w:rPr>
        <w:t xml:space="preserve"> своїх зобов’язань є гарантія Кременчуцької міської ради від 21.08.2009 року №1, надана Кременчуцькою міською радою Міністерству фінансів України. </w:t>
      </w:r>
    </w:p>
    <w:p w:rsidR="003162EE" w:rsidRDefault="003162EE" w:rsidP="003162EE">
      <w:pPr>
        <w:numPr>
          <w:ilvl w:val="12"/>
          <w:numId w:val="0"/>
        </w:numPr>
        <w:ind w:firstLine="567"/>
        <w:jc w:val="both"/>
        <w:rPr>
          <w:sz w:val="28"/>
          <w:szCs w:val="28"/>
          <w:lang w:eastAsia="ru-RU"/>
        </w:rPr>
      </w:pPr>
      <w:r>
        <w:rPr>
          <w:sz w:val="28"/>
          <w:szCs w:val="28"/>
          <w:lang w:eastAsia="ru-RU"/>
        </w:rPr>
        <w:t xml:space="preserve">В 2017 році на погашення основної суми </w:t>
      </w:r>
      <w:proofErr w:type="spellStart"/>
      <w:r>
        <w:rPr>
          <w:sz w:val="28"/>
          <w:szCs w:val="28"/>
          <w:lang w:eastAsia="ru-RU"/>
        </w:rPr>
        <w:t>субкредиту</w:t>
      </w:r>
      <w:proofErr w:type="spellEnd"/>
      <w:r>
        <w:rPr>
          <w:sz w:val="28"/>
          <w:szCs w:val="28"/>
          <w:lang w:eastAsia="ru-RU"/>
        </w:rPr>
        <w:t>, процентів, маржі згідно розрахунків КП «</w:t>
      </w:r>
      <w:proofErr w:type="spellStart"/>
      <w:r>
        <w:rPr>
          <w:sz w:val="28"/>
          <w:szCs w:val="28"/>
          <w:lang w:eastAsia="ru-RU"/>
        </w:rPr>
        <w:t>Кременчукводоканал</w:t>
      </w:r>
      <w:proofErr w:type="spellEnd"/>
      <w:r>
        <w:rPr>
          <w:sz w:val="28"/>
          <w:szCs w:val="28"/>
          <w:lang w:eastAsia="ru-RU"/>
        </w:rPr>
        <w:t xml:space="preserve">» передбачено 7 000,0 </w:t>
      </w:r>
      <w:proofErr w:type="spellStart"/>
      <w:r>
        <w:rPr>
          <w:sz w:val="28"/>
          <w:szCs w:val="28"/>
          <w:lang w:eastAsia="ru-RU"/>
        </w:rPr>
        <w:t>тис.грн</w:t>
      </w:r>
      <w:proofErr w:type="spellEnd"/>
      <w:r>
        <w:rPr>
          <w:sz w:val="28"/>
          <w:szCs w:val="28"/>
          <w:lang w:eastAsia="ru-RU"/>
        </w:rPr>
        <w:t>. План виконано на 100%. Станом на 01.01.2018 заборгованість по гарантованому територіальною громадою боргу погашення відповідно до графіка основної суми кредиту, а також процентів і маржі відсутня.</w:t>
      </w:r>
    </w:p>
    <w:p w:rsidR="003162EE" w:rsidRDefault="003162EE" w:rsidP="003162EE">
      <w:pPr>
        <w:widowControl w:val="0"/>
        <w:ind w:firstLine="720"/>
        <w:jc w:val="both"/>
        <w:rPr>
          <w:sz w:val="28"/>
          <w:szCs w:val="28"/>
          <w:lang w:eastAsia="ru-RU"/>
        </w:rPr>
      </w:pPr>
      <w:r>
        <w:rPr>
          <w:sz w:val="28"/>
          <w:szCs w:val="28"/>
          <w:lang w:eastAsia="ru-RU"/>
        </w:rPr>
        <w:t xml:space="preserve">В 2017 році продовжувалась робота по  залученню кредиту ЕБРР для реалізації інвестиційного проекту «Оновлення міського електротранспорту </w:t>
      </w:r>
      <w:bookmarkStart w:id="0" w:name="_GoBack"/>
      <w:bookmarkEnd w:id="0"/>
      <w:r w:rsidR="000B2051">
        <w:rPr>
          <w:sz w:val="28"/>
          <w:szCs w:val="28"/>
          <w:lang w:eastAsia="ru-RU"/>
        </w:rPr>
        <w:t xml:space="preserve">м. </w:t>
      </w:r>
      <w:r>
        <w:rPr>
          <w:sz w:val="28"/>
          <w:szCs w:val="28"/>
          <w:lang w:eastAsia="ru-RU"/>
        </w:rPr>
        <w:t>Кременчук». Загальна сума кредиту 8000,0 млн. євро. Строк кредиту 12 років.</w:t>
      </w:r>
    </w:p>
    <w:p w:rsidR="003162EE" w:rsidRDefault="003162EE" w:rsidP="003162EE">
      <w:pPr>
        <w:widowControl w:val="0"/>
        <w:ind w:firstLine="720"/>
        <w:jc w:val="both"/>
        <w:rPr>
          <w:sz w:val="28"/>
          <w:szCs w:val="28"/>
          <w:lang w:eastAsia="ru-RU"/>
        </w:rPr>
      </w:pPr>
      <w:r>
        <w:rPr>
          <w:sz w:val="28"/>
          <w:szCs w:val="28"/>
          <w:lang w:eastAsia="ru-RU"/>
        </w:rPr>
        <w:t>З</w:t>
      </w:r>
      <w:r>
        <w:rPr>
          <w:kern w:val="2"/>
          <w:sz w:val="28"/>
          <w:szCs w:val="28"/>
          <w:lang w:eastAsia="ru-RU"/>
        </w:rPr>
        <w:t>абезпеченням виконання боргових зобов’язань в</w:t>
      </w:r>
      <w:r>
        <w:rPr>
          <w:sz w:val="28"/>
          <w:szCs w:val="28"/>
          <w:lang w:eastAsia="ru-RU"/>
        </w:rPr>
        <w:t xml:space="preserve">ідповідно до Кредитного договору між комунальним підприємством «Кременчуцьке тролейбусне управління» та Європейським банком реконструкції та розвитку від 21 грудня 2016 року є Договір гарантії, відшкодування та підтримки проекту укладений між Кременчуцькою міською радою та Європейським банком реконструкції та розвитку від 29 грудня 2016 року. </w:t>
      </w:r>
    </w:p>
    <w:p w:rsidR="003162EE" w:rsidRDefault="003162EE" w:rsidP="003162EE">
      <w:pPr>
        <w:numPr>
          <w:ilvl w:val="12"/>
          <w:numId w:val="0"/>
        </w:numPr>
        <w:ind w:firstLine="567"/>
        <w:jc w:val="both"/>
        <w:rPr>
          <w:sz w:val="28"/>
          <w:szCs w:val="28"/>
          <w:lang w:eastAsia="ru-RU"/>
        </w:rPr>
      </w:pPr>
      <w:r>
        <w:rPr>
          <w:sz w:val="28"/>
          <w:szCs w:val="28"/>
          <w:lang w:eastAsia="ru-RU"/>
        </w:rPr>
        <w:t xml:space="preserve">Видатки на виконання місцевих гарантій по кредиту ЕБРР на 2017 рік визначені в сумі </w:t>
      </w:r>
      <w:r>
        <w:rPr>
          <w:kern w:val="2"/>
          <w:sz w:val="28"/>
          <w:szCs w:val="28"/>
          <w:lang w:eastAsia="ru-RU"/>
        </w:rPr>
        <w:t xml:space="preserve">6 419,8 </w:t>
      </w:r>
      <w:proofErr w:type="spellStart"/>
      <w:r>
        <w:rPr>
          <w:sz w:val="28"/>
          <w:szCs w:val="28"/>
          <w:lang w:eastAsia="ru-RU"/>
        </w:rPr>
        <w:t>тис.грн</w:t>
      </w:r>
      <w:proofErr w:type="spellEnd"/>
      <w:r>
        <w:rPr>
          <w:sz w:val="28"/>
          <w:szCs w:val="28"/>
          <w:lang w:eastAsia="ru-RU"/>
        </w:rPr>
        <w:t xml:space="preserve">. Касові видатки в звітному періоді  на оплату </w:t>
      </w:r>
      <w:r>
        <w:rPr>
          <w:sz w:val="28"/>
          <w:szCs w:val="28"/>
          <w:lang w:eastAsia="ru-RU"/>
        </w:rPr>
        <w:lastRenderedPageBreak/>
        <w:t xml:space="preserve">одноразової комісії та юридичних послуг склали 4 462,1 </w:t>
      </w:r>
      <w:proofErr w:type="spellStart"/>
      <w:r>
        <w:rPr>
          <w:sz w:val="28"/>
          <w:szCs w:val="28"/>
          <w:lang w:eastAsia="ru-RU"/>
        </w:rPr>
        <w:t>тис.грн</w:t>
      </w:r>
      <w:proofErr w:type="spellEnd"/>
      <w:r>
        <w:rPr>
          <w:sz w:val="28"/>
          <w:szCs w:val="28"/>
          <w:lang w:eastAsia="ru-RU"/>
        </w:rPr>
        <w:t>., що дорівнює 69,5% виконання річного плану. Станом на 01.01.2018 року заборгованість по гарантованому територіальною громадою боргу, а саме погашенню процентів відсутня.</w:t>
      </w:r>
    </w:p>
    <w:p w:rsidR="003162EE" w:rsidRDefault="003162EE" w:rsidP="003162EE">
      <w:pPr>
        <w:numPr>
          <w:ilvl w:val="12"/>
          <w:numId w:val="0"/>
        </w:numPr>
        <w:ind w:firstLine="567"/>
        <w:jc w:val="both"/>
        <w:rPr>
          <w:lang w:eastAsia="ru-RU"/>
        </w:rPr>
      </w:pPr>
      <w:r>
        <w:rPr>
          <w:sz w:val="28"/>
          <w:szCs w:val="28"/>
          <w:lang w:eastAsia="ru-RU"/>
        </w:rPr>
        <w:t xml:space="preserve">В 2016 році на підставі рішення міської Кременчуцької міської ради Полтавської області від 31 травня 2016 року «Про залучення кредиту НЕФКО для фінансування інвестиційного </w:t>
      </w:r>
      <w:proofErr w:type="spellStart"/>
      <w:r>
        <w:rPr>
          <w:sz w:val="28"/>
          <w:szCs w:val="28"/>
          <w:lang w:eastAsia="ru-RU"/>
        </w:rPr>
        <w:t>проекту«Термомодернізація</w:t>
      </w:r>
      <w:proofErr w:type="spellEnd"/>
      <w:r>
        <w:rPr>
          <w:sz w:val="28"/>
          <w:szCs w:val="28"/>
          <w:lang w:eastAsia="ru-RU"/>
        </w:rPr>
        <w:t xml:space="preserve"> дитячого садка № 32 та модернізація вуличного освітлення міста Кременчук Полтавської області» здійснено запозичення до бюджету м. Кременчука в сумі                              1 683,008 тис. грн.</w:t>
      </w:r>
    </w:p>
    <w:p w:rsidR="003162EE" w:rsidRDefault="003162EE" w:rsidP="003162EE">
      <w:pPr>
        <w:numPr>
          <w:ilvl w:val="12"/>
          <w:numId w:val="0"/>
        </w:numPr>
        <w:ind w:firstLine="567"/>
        <w:jc w:val="both"/>
        <w:rPr>
          <w:sz w:val="28"/>
          <w:szCs w:val="28"/>
          <w:lang w:eastAsia="ru-RU"/>
        </w:rPr>
      </w:pPr>
      <w:r>
        <w:rPr>
          <w:kern w:val="2"/>
          <w:sz w:val="28"/>
          <w:szCs w:val="28"/>
          <w:lang w:eastAsia="ru-RU"/>
        </w:rPr>
        <w:t>В 2017 році рішенням Кременчуцької міської ради Полтавської області від 13 жовтня 2017 року «Про внесення змін до рішення Кременчуцької міської ради від 31 травня 2016 року «Про залучення кредиту НЕФКО для фінансування інвестиційного проекту «</w:t>
      </w:r>
      <w:proofErr w:type="spellStart"/>
      <w:r>
        <w:rPr>
          <w:kern w:val="2"/>
          <w:sz w:val="28"/>
          <w:szCs w:val="28"/>
          <w:lang w:eastAsia="ru-RU"/>
        </w:rPr>
        <w:t>Термомодернізація</w:t>
      </w:r>
      <w:proofErr w:type="spellEnd"/>
      <w:r>
        <w:rPr>
          <w:kern w:val="2"/>
          <w:sz w:val="28"/>
          <w:szCs w:val="28"/>
          <w:lang w:eastAsia="ru-RU"/>
        </w:rPr>
        <w:t xml:space="preserve"> дитячого садка №32 та модернізація вуличного освітлення міста Кременчук Полтавської області» внесені зміни в мету</w:t>
      </w:r>
      <w:r>
        <w:rPr>
          <w:sz w:val="28"/>
          <w:szCs w:val="28"/>
          <w:lang w:eastAsia="ru-RU"/>
        </w:rPr>
        <w:t xml:space="preserve"> використання фінансових ресурсів, залучених від розміщення кредитних коштів, які будуть направлені на технічне переоснащення та модернізацію вуличного освітлення міста Кременчука Полтавської області  на основі енергоефективних джерел світла.    </w:t>
      </w:r>
    </w:p>
    <w:p w:rsidR="003162EE" w:rsidRDefault="003162EE" w:rsidP="003162EE">
      <w:pPr>
        <w:numPr>
          <w:ilvl w:val="12"/>
          <w:numId w:val="0"/>
        </w:numPr>
        <w:ind w:firstLine="567"/>
        <w:jc w:val="both"/>
        <w:rPr>
          <w:lang w:eastAsia="ru-RU"/>
        </w:rPr>
      </w:pPr>
      <w:r>
        <w:rPr>
          <w:sz w:val="28"/>
          <w:szCs w:val="28"/>
          <w:lang w:eastAsia="ru-RU"/>
        </w:rPr>
        <w:t>Запозичення до міського бюджету було проведено у формі кредиту НЕФКО на умовах фінансування спільного з НЕФКО інвестиційного проекту «</w:t>
      </w:r>
      <w:proofErr w:type="spellStart"/>
      <w:r>
        <w:rPr>
          <w:sz w:val="28"/>
          <w:szCs w:val="28"/>
          <w:lang w:eastAsia="ru-RU"/>
        </w:rPr>
        <w:t>Термомодернізація</w:t>
      </w:r>
      <w:proofErr w:type="spellEnd"/>
      <w:r>
        <w:rPr>
          <w:sz w:val="28"/>
          <w:szCs w:val="28"/>
          <w:lang w:eastAsia="ru-RU"/>
        </w:rPr>
        <w:t xml:space="preserve"> дитячого садка № 32 та модернізація вуличного освітлення міста Кременчук Полтавської області».</w:t>
      </w:r>
    </w:p>
    <w:p w:rsidR="003162EE" w:rsidRDefault="003162EE" w:rsidP="003162EE">
      <w:pPr>
        <w:numPr>
          <w:ilvl w:val="12"/>
          <w:numId w:val="0"/>
        </w:numPr>
        <w:ind w:firstLine="567"/>
        <w:jc w:val="both"/>
        <w:rPr>
          <w:sz w:val="28"/>
          <w:szCs w:val="28"/>
          <w:lang w:eastAsia="ru-RU"/>
        </w:rPr>
      </w:pPr>
      <w:r>
        <w:rPr>
          <w:sz w:val="28"/>
          <w:szCs w:val="28"/>
          <w:lang w:eastAsia="ru-RU"/>
        </w:rPr>
        <w:t xml:space="preserve">Розмір запозичення  – 5 610 ,025 </w:t>
      </w:r>
      <w:proofErr w:type="spellStart"/>
      <w:r>
        <w:rPr>
          <w:sz w:val="28"/>
          <w:szCs w:val="28"/>
          <w:lang w:eastAsia="ru-RU"/>
        </w:rPr>
        <w:t>тис.грн</w:t>
      </w:r>
      <w:proofErr w:type="spellEnd"/>
      <w:r>
        <w:rPr>
          <w:sz w:val="28"/>
          <w:szCs w:val="28"/>
          <w:lang w:eastAsia="ru-RU"/>
        </w:rPr>
        <w:t>.</w:t>
      </w:r>
    </w:p>
    <w:p w:rsidR="003162EE" w:rsidRDefault="003162EE" w:rsidP="003162EE">
      <w:pPr>
        <w:numPr>
          <w:ilvl w:val="12"/>
          <w:numId w:val="0"/>
        </w:numPr>
        <w:ind w:firstLine="567"/>
        <w:jc w:val="both"/>
        <w:rPr>
          <w:sz w:val="28"/>
          <w:szCs w:val="28"/>
          <w:lang w:eastAsia="ru-RU"/>
        </w:rPr>
      </w:pPr>
      <w:r>
        <w:rPr>
          <w:sz w:val="28"/>
          <w:szCs w:val="28"/>
          <w:lang w:eastAsia="ru-RU"/>
        </w:rPr>
        <w:t>Відсоткова ставка за користування залученими коштами – 3 % річних.</w:t>
      </w:r>
    </w:p>
    <w:p w:rsidR="003162EE" w:rsidRDefault="003162EE" w:rsidP="003162EE">
      <w:pPr>
        <w:numPr>
          <w:ilvl w:val="12"/>
          <w:numId w:val="0"/>
        </w:numPr>
        <w:ind w:firstLine="567"/>
        <w:jc w:val="both"/>
        <w:rPr>
          <w:sz w:val="28"/>
          <w:szCs w:val="28"/>
          <w:lang w:eastAsia="ru-RU"/>
        </w:rPr>
      </w:pPr>
      <w:r>
        <w:rPr>
          <w:sz w:val="28"/>
          <w:szCs w:val="28"/>
          <w:lang w:eastAsia="ru-RU"/>
        </w:rPr>
        <w:t>Строк погашення основної суми боргу по запозиченню – 15 червня                 2021 року.</w:t>
      </w:r>
    </w:p>
    <w:p w:rsidR="003162EE" w:rsidRDefault="003162EE" w:rsidP="003162EE">
      <w:pPr>
        <w:numPr>
          <w:ilvl w:val="12"/>
          <w:numId w:val="0"/>
        </w:numPr>
        <w:ind w:firstLine="567"/>
        <w:jc w:val="both"/>
        <w:rPr>
          <w:sz w:val="28"/>
          <w:szCs w:val="28"/>
          <w:lang w:eastAsia="ru-RU"/>
        </w:rPr>
      </w:pPr>
      <w:r>
        <w:rPr>
          <w:sz w:val="28"/>
          <w:szCs w:val="28"/>
          <w:lang w:eastAsia="ru-RU"/>
        </w:rPr>
        <w:t>Сплата відсотків та основної суми боргу – щоквартально починаючи з                           15 березня 2017 року –відсотки, 15 вересня 2017 року – кредит.</w:t>
      </w:r>
    </w:p>
    <w:p w:rsidR="003162EE" w:rsidRDefault="003162EE" w:rsidP="003162EE">
      <w:pPr>
        <w:suppressAutoHyphens/>
        <w:ind w:firstLine="709"/>
        <w:jc w:val="both"/>
        <w:rPr>
          <w:sz w:val="28"/>
          <w:szCs w:val="28"/>
          <w:lang w:eastAsia="ru-RU"/>
        </w:rPr>
      </w:pPr>
      <w:r>
        <w:rPr>
          <w:sz w:val="28"/>
          <w:szCs w:val="28"/>
          <w:lang w:eastAsia="ru-RU"/>
        </w:rPr>
        <w:t xml:space="preserve">В 2017 році на обслуговування кредиту (сплату відсотків) передбачені видатки в сумі 176,550 тис. грн., на погашення основної суми боргу по кредиту 701,254 тис. грн. Касові видатки на обслуговування кредиту (сплату відсотків)  склали 49,7 тис. грн, на погашення основної суми боргу по кредиту                         210,4 тис. грн. </w:t>
      </w:r>
    </w:p>
    <w:p w:rsidR="003162EE" w:rsidRDefault="003162EE" w:rsidP="003162EE">
      <w:pPr>
        <w:pStyle w:val="a3"/>
        <w:ind w:firstLine="709"/>
        <w:jc w:val="both"/>
        <w:rPr>
          <w:b w:val="0"/>
          <w:szCs w:val="28"/>
        </w:rPr>
      </w:pPr>
    </w:p>
    <w:p w:rsidR="003162EE" w:rsidRDefault="003162EE" w:rsidP="003162EE">
      <w:pPr>
        <w:pStyle w:val="a3"/>
        <w:ind w:firstLine="709"/>
        <w:jc w:val="both"/>
        <w:rPr>
          <w:b w:val="0"/>
          <w:szCs w:val="28"/>
        </w:rPr>
      </w:pPr>
    </w:p>
    <w:p w:rsidR="003162EE" w:rsidRDefault="003162EE" w:rsidP="003162EE">
      <w:pPr>
        <w:pStyle w:val="a3"/>
        <w:jc w:val="both"/>
        <w:rPr>
          <w:szCs w:val="28"/>
        </w:rPr>
      </w:pPr>
    </w:p>
    <w:p w:rsidR="003162EE" w:rsidRDefault="003162EE" w:rsidP="003162EE">
      <w:pPr>
        <w:pStyle w:val="a3"/>
        <w:jc w:val="both"/>
        <w:rPr>
          <w:szCs w:val="28"/>
        </w:rPr>
      </w:pPr>
      <w:r>
        <w:rPr>
          <w:szCs w:val="28"/>
        </w:rPr>
        <w:t xml:space="preserve">Заступник міського голови – </w:t>
      </w:r>
    </w:p>
    <w:p w:rsidR="003162EE" w:rsidRDefault="003162EE" w:rsidP="003162EE">
      <w:pPr>
        <w:pStyle w:val="a3"/>
        <w:jc w:val="both"/>
        <w:rPr>
          <w:szCs w:val="28"/>
        </w:rPr>
      </w:pPr>
      <w:r>
        <w:rPr>
          <w:szCs w:val="28"/>
        </w:rPr>
        <w:t xml:space="preserve">директор Департаменту фінансів </w:t>
      </w:r>
    </w:p>
    <w:p w:rsidR="003162EE" w:rsidRDefault="003162EE" w:rsidP="003162EE">
      <w:pPr>
        <w:pStyle w:val="a3"/>
        <w:jc w:val="both"/>
        <w:rPr>
          <w:szCs w:val="28"/>
        </w:rPr>
      </w:pPr>
      <w:r>
        <w:rPr>
          <w:szCs w:val="28"/>
        </w:rPr>
        <w:t xml:space="preserve">виконавчого комітету </w:t>
      </w:r>
    </w:p>
    <w:p w:rsidR="003162EE" w:rsidRDefault="003162EE" w:rsidP="003162EE">
      <w:pPr>
        <w:pStyle w:val="a3"/>
        <w:jc w:val="both"/>
        <w:rPr>
          <w:szCs w:val="28"/>
        </w:rPr>
      </w:pPr>
      <w:r>
        <w:rPr>
          <w:szCs w:val="28"/>
        </w:rPr>
        <w:t xml:space="preserve">Кременчуцької міської ради </w:t>
      </w:r>
    </w:p>
    <w:p w:rsidR="003162EE" w:rsidRDefault="003162EE" w:rsidP="003162EE">
      <w:pPr>
        <w:pStyle w:val="a3"/>
        <w:jc w:val="both"/>
        <w:rPr>
          <w:szCs w:val="28"/>
        </w:rPr>
      </w:pPr>
      <w:r>
        <w:rPr>
          <w:szCs w:val="28"/>
        </w:rPr>
        <w:t>Полтавської області                                                             Т.Г.НЕІЛЕНКО</w:t>
      </w:r>
    </w:p>
    <w:p w:rsidR="003162EE" w:rsidRDefault="003162EE" w:rsidP="003162EE">
      <w:pPr>
        <w:pStyle w:val="a3"/>
        <w:ind w:firstLine="709"/>
        <w:jc w:val="both"/>
        <w:rPr>
          <w:b w:val="0"/>
          <w:szCs w:val="28"/>
        </w:rPr>
      </w:pPr>
    </w:p>
    <w:p w:rsidR="003162EE" w:rsidRDefault="003162EE" w:rsidP="003162EE">
      <w:pPr>
        <w:pStyle w:val="a3"/>
        <w:ind w:firstLine="709"/>
        <w:jc w:val="both"/>
        <w:rPr>
          <w:b w:val="0"/>
          <w:szCs w:val="28"/>
        </w:rPr>
      </w:pPr>
    </w:p>
    <w:p w:rsidR="003162EE" w:rsidRDefault="003162EE" w:rsidP="003162EE">
      <w:pPr>
        <w:pStyle w:val="a3"/>
        <w:ind w:firstLine="709"/>
        <w:jc w:val="both"/>
        <w:rPr>
          <w:b w:val="0"/>
          <w:szCs w:val="28"/>
        </w:rPr>
      </w:pPr>
    </w:p>
    <w:p w:rsidR="003162EE" w:rsidRDefault="003162EE" w:rsidP="003162EE">
      <w:pPr>
        <w:pStyle w:val="a3"/>
        <w:ind w:firstLine="709"/>
        <w:jc w:val="both"/>
        <w:rPr>
          <w:b w:val="0"/>
          <w:szCs w:val="28"/>
        </w:rPr>
      </w:pPr>
    </w:p>
    <w:p w:rsidR="003162EE" w:rsidRDefault="003162EE" w:rsidP="003162EE">
      <w:pPr>
        <w:pStyle w:val="a3"/>
        <w:ind w:firstLine="709"/>
        <w:jc w:val="both"/>
        <w:rPr>
          <w:b w:val="0"/>
          <w:szCs w:val="28"/>
        </w:rPr>
      </w:pPr>
    </w:p>
    <w:sectPr w:rsidR="003162EE" w:rsidSect="003162EE">
      <w:footerReference w:type="default" r:id="rId13"/>
      <w:pgSz w:w="11906" w:h="16838"/>
      <w:pgMar w:top="568" w:right="707" w:bottom="568" w:left="1701" w:header="708" w:footer="4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F57" w:rsidRDefault="00585F57" w:rsidP="003162EE">
      <w:r>
        <w:separator/>
      </w:r>
    </w:p>
  </w:endnote>
  <w:endnote w:type="continuationSeparator" w:id="0">
    <w:p w:rsidR="00585F57" w:rsidRDefault="00585F57" w:rsidP="00316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11">
    <w:altName w:val="Arial"/>
    <w:charset w:val="CC"/>
    <w:family w:val="swiss"/>
    <w:pitch w:val="variable"/>
  </w:font>
  <w:font w:name="Times New Roman1">
    <w:altName w:val="Times New Roman"/>
    <w:charset w:val="CC"/>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2687106"/>
      <w:docPartObj>
        <w:docPartGallery w:val="Page Numbers (Bottom of Page)"/>
        <w:docPartUnique/>
      </w:docPartObj>
    </w:sdtPr>
    <w:sdtEndPr/>
    <w:sdtContent>
      <w:p w:rsidR="003162EE" w:rsidRDefault="003162EE">
        <w:pPr>
          <w:pStyle w:val="aa"/>
          <w:jc w:val="right"/>
        </w:pPr>
        <w:r>
          <w:fldChar w:fldCharType="begin"/>
        </w:r>
        <w:r>
          <w:instrText>PAGE   \* MERGEFORMAT</w:instrText>
        </w:r>
        <w:r>
          <w:fldChar w:fldCharType="separate"/>
        </w:r>
        <w:r w:rsidR="000B2051" w:rsidRPr="000B2051">
          <w:rPr>
            <w:noProof/>
            <w:lang w:val="ru-RU"/>
          </w:rPr>
          <w:t>12</w:t>
        </w:r>
        <w:r>
          <w:fldChar w:fldCharType="end"/>
        </w:r>
      </w:p>
    </w:sdtContent>
  </w:sdt>
  <w:p w:rsidR="003162EE" w:rsidRDefault="003162E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F57" w:rsidRDefault="00585F57" w:rsidP="003162EE">
      <w:r>
        <w:separator/>
      </w:r>
    </w:p>
  </w:footnote>
  <w:footnote w:type="continuationSeparator" w:id="0">
    <w:p w:rsidR="00585F57" w:rsidRDefault="00585F57" w:rsidP="003162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C8585F"/>
    <w:multiLevelType w:val="hybridMultilevel"/>
    <w:tmpl w:val="D436DA04"/>
    <w:lvl w:ilvl="0" w:tplc="8B0490DC">
      <w:start w:val="1"/>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62A"/>
    <w:rsid w:val="000B2051"/>
    <w:rsid w:val="003162EE"/>
    <w:rsid w:val="004F657C"/>
    <w:rsid w:val="00585F57"/>
    <w:rsid w:val="005D462A"/>
    <w:rsid w:val="008B6C16"/>
    <w:rsid w:val="00E64BB4"/>
    <w:rsid w:val="00F01C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2EE"/>
    <w:pPr>
      <w:spacing w:after="0" w:line="240" w:lineRule="auto"/>
    </w:pPr>
    <w:rPr>
      <w:rFonts w:ascii="Times New Roman" w:eastAsia="Times New Roman" w:hAnsi="Times New Roman" w:cs="Times New Roman"/>
      <w:sz w:val="24"/>
      <w:szCs w:val="24"/>
      <w:lang w:val="uk-UA" w:eastAsia="uk-UA"/>
    </w:rPr>
  </w:style>
  <w:style w:type="paragraph" w:styleId="1">
    <w:name w:val="heading 1"/>
    <w:basedOn w:val="a"/>
    <w:next w:val="a"/>
    <w:link w:val="10"/>
    <w:qFormat/>
    <w:rsid w:val="003162EE"/>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162EE"/>
    <w:rPr>
      <w:rFonts w:ascii="Cambria" w:eastAsia="Times New Roman" w:hAnsi="Cambria" w:cs="Times New Roman"/>
      <w:b/>
      <w:bCs/>
      <w:kern w:val="32"/>
      <w:sz w:val="32"/>
      <w:szCs w:val="32"/>
      <w:lang w:val="uk-UA" w:eastAsia="uk-UA"/>
    </w:rPr>
  </w:style>
  <w:style w:type="paragraph" w:styleId="a3">
    <w:name w:val="Title"/>
    <w:basedOn w:val="a"/>
    <w:link w:val="a4"/>
    <w:qFormat/>
    <w:rsid w:val="003162EE"/>
    <w:pPr>
      <w:jc w:val="center"/>
    </w:pPr>
    <w:rPr>
      <w:b/>
      <w:sz w:val="28"/>
      <w:szCs w:val="20"/>
      <w:lang w:eastAsia="ru-RU"/>
    </w:rPr>
  </w:style>
  <w:style w:type="character" w:customStyle="1" w:styleId="a4">
    <w:name w:val="Название Знак"/>
    <w:basedOn w:val="a0"/>
    <w:link w:val="a3"/>
    <w:rsid w:val="003162EE"/>
    <w:rPr>
      <w:rFonts w:ascii="Times New Roman" w:eastAsia="Times New Roman" w:hAnsi="Times New Roman" w:cs="Times New Roman"/>
      <w:b/>
      <w:sz w:val="28"/>
      <w:szCs w:val="20"/>
      <w:lang w:val="uk-UA" w:eastAsia="ru-RU"/>
    </w:rPr>
  </w:style>
  <w:style w:type="paragraph" w:styleId="a5">
    <w:name w:val="No Spacing"/>
    <w:uiPriority w:val="1"/>
    <w:qFormat/>
    <w:rsid w:val="003162EE"/>
    <w:pPr>
      <w:spacing w:after="0" w:line="240" w:lineRule="auto"/>
    </w:pPr>
    <w:rPr>
      <w:rFonts w:ascii="Times New Roman" w:eastAsia="Times New Roman" w:hAnsi="Times New Roman" w:cs="Times New Roman"/>
      <w:sz w:val="24"/>
      <w:szCs w:val="24"/>
      <w:lang w:val="uk-UA" w:eastAsia="ru-RU"/>
    </w:rPr>
  </w:style>
  <w:style w:type="paragraph" w:customStyle="1" w:styleId="FR1">
    <w:name w:val="FR1"/>
    <w:rsid w:val="003162EE"/>
    <w:pPr>
      <w:widowControl w:val="0"/>
      <w:spacing w:after="0" w:line="259" w:lineRule="auto"/>
      <w:ind w:firstLine="680"/>
    </w:pPr>
    <w:rPr>
      <w:rFonts w:ascii="Times New Roman" w:eastAsia="Times New Roman" w:hAnsi="Times New Roman" w:cs="Times New Roman"/>
      <w:sz w:val="28"/>
      <w:szCs w:val="20"/>
      <w:lang w:val="uk-UA" w:eastAsia="ru-RU"/>
    </w:rPr>
  </w:style>
  <w:style w:type="paragraph" w:customStyle="1" w:styleId="1e1e41413d3d3e3e32323d3d3e3e3939424235353a3a41414242">
    <w:name w:val="О1e1eс4141н3d3dо3e3eв3232н3d3dо3e3eй3939 т4242е3535к3a3aс4141т4242"/>
    <w:uiPriority w:val="99"/>
    <w:rsid w:val="003162EE"/>
    <w:pPr>
      <w:autoSpaceDE w:val="0"/>
      <w:autoSpaceDN w:val="0"/>
      <w:adjustRightInd w:val="0"/>
      <w:spacing w:after="120" w:line="240" w:lineRule="auto"/>
    </w:pPr>
    <w:rPr>
      <w:rFonts w:ascii="Times New Roman" w:eastAsia="Times New Roman" w:hAnsi="Times New Roman" w:cs="Times New Roman"/>
      <w:kern w:val="2"/>
      <w:sz w:val="24"/>
      <w:szCs w:val="24"/>
      <w:lang w:val="uk-UA" w:eastAsia="ru-RU"/>
    </w:rPr>
  </w:style>
  <w:style w:type="paragraph" w:styleId="a6">
    <w:name w:val="Balloon Text"/>
    <w:basedOn w:val="a"/>
    <w:link w:val="a7"/>
    <w:uiPriority w:val="99"/>
    <w:semiHidden/>
    <w:unhideWhenUsed/>
    <w:rsid w:val="003162EE"/>
    <w:rPr>
      <w:rFonts w:ascii="Tahoma" w:hAnsi="Tahoma" w:cs="Tahoma"/>
      <w:sz w:val="16"/>
      <w:szCs w:val="16"/>
    </w:rPr>
  </w:style>
  <w:style w:type="character" w:customStyle="1" w:styleId="a7">
    <w:name w:val="Текст выноски Знак"/>
    <w:basedOn w:val="a0"/>
    <w:link w:val="a6"/>
    <w:uiPriority w:val="99"/>
    <w:semiHidden/>
    <w:rsid w:val="003162EE"/>
    <w:rPr>
      <w:rFonts w:ascii="Tahoma" w:eastAsia="Times New Roman" w:hAnsi="Tahoma" w:cs="Tahoma"/>
      <w:sz w:val="16"/>
      <w:szCs w:val="16"/>
      <w:lang w:val="uk-UA" w:eastAsia="uk-UA"/>
    </w:rPr>
  </w:style>
  <w:style w:type="paragraph" w:styleId="a8">
    <w:name w:val="header"/>
    <w:basedOn w:val="a"/>
    <w:link w:val="a9"/>
    <w:uiPriority w:val="99"/>
    <w:unhideWhenUsed/>
    <w:rsid w:val="003162EE"/>
    <w:pPr>
      <w:tabs>
        <w:tab w:val="center" w:pos="4677"/>
        <w:tab w:val="right" w:pos="9355"/>
      </w:tabs>
    </w:pPr>
  </w:style>
  <w:style w:type="character" w:customStyle="1" w:styleId="a9">
    <w:name w:val="Верхний колонтитул Знак"/>
    <w:basedOn w:val="a0"/>
    <w:link w:val="a8"/>
    <w:uiPriority w:val="99"/>
    <w:rsid w:val="003162EE"/>
    <w:rPr>
      <w:rFonts w:ascii="Times New Roman" w:eastAsia="Times New Roman" w:hAnsi="Times New Roman" w:cs="Times New Roman"/>
      <w:sz w:val="24"/>
      <w:szCs w:val="24"/>
      <w:lang w:val="uk-UA" w:eastAsia="uk-UA"/>
    </w:rPr>
  </w:style>
  <w:style w:type="paragraph" w:styleId="aa">
    <w:name w:val="footer"/>
    <w:basedOn w:val="a"/>
    <w:link w:val="ab"/>
    <w:uiPriority w:val="99"/>
    <w:unhideWhenUsed/>
    <w:rsid w:val="003162EE"/>
    <w:pPr>
      <w:tabs>
        <w:tab w:val="center" w:pos="4677"/>
        <w:tab w:val="right" w:pos="9355"/>
      </w:tabs>
    </w:pPr>
  </w:style>
  <w:style w:type="character" w:customStyle="1" w:styleId="ab">
    <w:name w:val="Нижний колонтитул Знак"/>
    <w:basedOn w:val="a0"/>
    <w:link w:val="aa"/>
    <w:uiPriority w:val="99"/>
    <w:rsid w:val="003162EE"/>
    <w:rPr>
      <w:rFonts w:ascii="Times New Roman" w:eastAsia="Times New Roman" w:hAnsi="Times New Roman" w:cs="Times New Roman"/>
      <w:sz w:val="24"/>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2EE"/>
    <w:pPr>
      <w:spacing w:after="0" w:line="240" w:lineRule="auto"/>
    </w:pPr>
    <w:rPr>
      <w:rFonts w:ascii="Times New Roman" w:eastAsia="Times New Roman" w:hAnsi="Times New Roman" w:cs="Times New Roman"/>
      <w:sz w:val="24"/>
      <w:szCs w:val="24"/>
      <w:lang w:val="uk-UA" w:eastAsia="uk-UA"/>
    </w:rPr>
  </w:style>
  <w:style w:type="paragraph" w:styleId="1">
    <w:name w:val="heading 1"/>
    <w:basedOn w:val="a"/>
    <w:next w:val="a"/>
    <w:link w:val="10"/>
    <w:qFormat/>
    <w:rsid w:val="003162EE"/>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162EE"/>
    <w:rPr>
      <w:rFonts w:ascii="Cambria" w:eastAsia="Times New Roman" w:hAnsi="Cambria" w:cs="Times New Roman"/>
      <w:b/>
      <w:bCs/>
      <w:kern w:val="32"/>
      <w:sz w:val="32"/>
      <w:szCs w:val="32"/>
      <w:lang w:val="uk-UA" w:eastAsia="uk-UA"/>
    </w:rPr>
  </w:style>
  <w:style w:type="paragraph" w:styleId="a3">
    <w:name w:val="Title"/>
    <w:basedOn w:val="a"/>
    <w:link w:val="a4"/>
    <w:qFormat/>
    <w:rsid w:val="003162EE"/>
    <w:pPr>
      <w:jc w:val="center"/>
    </w:pPr>
    <w:rPr>
      <w:b/>
      <w:sz w:val="28"/>
      <w:szCs w:val="20"/>
      <w:lang w:eastAsia="ru-RU"/>
    </w:rPr>
  </w:style>
  <w:style w:type="character" w:customStyle="1" w:styleId="a4">
    <w:name w:val="Название Знак"/>
    <w:basedOn w:val="a0"/>
    <w:link w:val="a3"/>
    <w:rsid w:val="003162EE"/>
    <w:rPr>
      <w:rFonts w:ascii="Times New Roman" w:eastAsia="Times New Roman" w:hAnsi="Times New Roman" w:cs="Times New Roman"/>
      <w:b/>
      <w:sz w:val="28"/>
      <w:szCs w:val="20"/>
      <w:lang w:val="uk-UA" w:eastAsia="ru-RU"/>
    </w:rPr>
  </w:style>
  <w:style w:type="paragraph" w:styleId="a5">
    <w:name w:val="No Spacing"/>
    <w:uiPriority w:val="1"/>
    <w:qFormat/>
    <w:rsid w:val="003162EE"/>
    <w:pPr>
      <w:spacing w:after="0" w:line="240" w:lineRule="auto"/>
    </w:pPr>
    <w:rPr>
      <w:rFonts w:ascii="Times New Roman" w:eastAsia="Times New Roman" w:hAnsi="Times New Roman" w:cs="Times New Roman"/>
      <w:sz w:val="24"/>
      <w:szCs w:val="24"/>
      <w:lang w:val="uk-UA" w:eastAsia="ru-RU"/>
    </w:rPr>
  </w:style>
  <w:style w:type="paragraph" w:customStyle="1" w:styleId="FR1">
    <w:name w:val="FR1"/>
    <w:rsid w:val="003162EE"/>
    <w:pPr>
      <w:widowControl w:val="0"/>
      <w:spacing w:after="0" w:line="259" w:lineRule="auto"/>
      <w:ind w:firstLine="680"/>
    </w:pPr>
    <w:rPr>
      <w:rFonts w:ascii="Times New Roman" w:eastAsia="Times New Roman" w:hAnsi="Times New Roman" w:cs="Times New Roman"/>
      <w:sz w:val="28"/>
      <w:szCs w:val="20"/>
      <w:lang w:val="uk-UA" w:eastAsia="ru-RU"/>
    </w:rPr>
  </w:style>
  <w:style w:type="paragraph" w:customStyle="1" w:styleId="1e1e41413d3d3e3e32323d3d3e3e3939424235353a3a41414242">
    <w:name w:val="О1e1eс4141н3d3dо3e3eв3232н3d3dо3e3eй3939 т4242е3535к3a3aс4141т4242"/>
    <w:uiPriority w:val="99"/>
    <w:rsid w:val="003162EE"/>
    <w:pPr>
      <w:autoSpaceDE w:val="0"/>
      <w:autoSpaceDN w:val="0"/>
      <w:adjustRightInd w:val="0"/>
      <w:spacing w:after="120" w:line="240" w:lineRule="auto"/>
    </w:pPr>
    <w:rPr>
      <w:rFonts w:ascii="Times New Roman" w:eastAsia="Times New Roman" w:hAnsi="Times New Roman" w:cs="Times New Roman"/>
      <w:kern w:val="2"/>
      <w:sz w:val="24"/>
      <w:szCs w:val="24"/>
      <w:lang w:val="uk-UA" w:eastAsia="ru-RU"/>
    </w:rPr>
  </w:style>
  <w:style w:type="paragraph" w:styleId="a6">
    <w:name w:val="Balloon Text"/>
    <w:basedOn w:val="a"/>
    <w:link w:val="a7"/>
    <w:uiPriority w:val="99"/>
    <w:semiHidden/>
    <w:unhideWhenUsed/>
    <w:rsid w:val="003162EE"/>
    <w:rPr>
      <w:rFonts w:ascii="Tahoma" w:hAnsi="Tahoma" w:cs="Tahoma"/>
      <w:sz w:val="16"/>
      <w:szCs w:val="16"/>
    </w:rPr>
  </w:style>
  <w:style w:type="character" w:customStyle="1" w:styleId="a7">
    <w:name w:val="Текст выноски Знак"/>
    <w:basedOn w:val="a0"/>
    <w:link w:val="a6"/>
    <w:uiPriority w:val="99"/>
    <w:semiHidden/>
    <w:rsid w:val="003162EE"/>
    <w:rPr>
      <w:rFonts w:ascii="Tahoma" w:eastAsia="Times New Roman" w:hAnsi="Tahoma" w:cs="Tahoma"/>
      <w:sz w:val="16"/>
      <w:szCs w:val="16"/>
      <w:lang w:val="uk-UA" w:eastAsia="uk-UA"/>
    </w:rPr>
  </w:style>
  <w:style w:type="paragraph" w:styleId="a8">
    <w:name w:val="header"/>
    <w:basedOn w:val="a"/>
    <w:link w:val="a9"/>
    <w:uiPriority w:val="99"/>
    <w:unhideWhenUsed/>
    <w:rsid w:val="003162EE"/>
    <w:pPr>
      <w:tabs>
        <w:tab w:val="center" w:pos="4677"/>
        <w:tab w:val="right" w:pos="9355"/>
      </w:tabs>
    </w:pPr>
  </w:style>
  <w:style w:type="character" w:customStyle="1" w:styleId="a9">
    <w:name w:val="Верхний колонтитул Знак"/>
    <w:basedOn w:val="a0"/>
    <w:link w:val="a8"/>
    <w:uiPriority w:val="99"/>
    <w:rsid w:val="003162EE"/>
    <w:rPr>
      <w:rFonts w:ascii="Times New Roman" w:eastAsia="Times New Roman" w:hAnsi="Times New Roman" w:cs="Times New Roman"/>
      <w:sz w:val="24"/>
      <w:szCs w:val="24"/>
      <w:lang w:val="uk-UA" w:eastAsia="uk-UA"/>
    </w:rPr>
  </w:style>
  <w:style w:type="paragraph" w:styleId="aa">
    <w:name w:val="footer"/>
    <w:basedOn w:val="a"/>
    <w:link w:val="ab"/>
    <w:uiPriority w:val="99"/>
    <w:unhideWhenUsed/>
    <w:rsid w:val="003162EE"/>
    <w:pPr>
      <w:tabs>
        <w:tab w:val="center" w:pos="4677"/>
        <w:tab w:val="right" w:pos="9355"/>
      </w:tabs>
    </w:pPr>
  </w:style>
  <w:style w:type="character" w:customStyle="1" w:styleId="ab">
    <w:name w:val="Нижний колонтитул Знак"/>
    <w:basedOn w:val="a0"/>
    <w:link w:val="aa"/>
    <w:uiPriority w:val="99"/>
    <w:rsid w:val="003162EE"/>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03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17</Pages>
  <Words>5991</Words>
  <Characters>34155</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dc:creator>
  <cp:keywords/>
  <dc:description/>
  <cp:lastModifiedBy>sekretar</cp:lastModifiedBy>
  <cp:revision>3</cp:revision>
  <cp:lastPrinted>2018-04-03T09:01:00Z</cp:lastPrinted>
  <dcterms:created xsi:type="dcterms:W3CDTF">2018-02-14T13:36:00Z</dcterms:created>
  <dcterms:modified xsi:type="dcterms:W3CDTF">2018-04-03T10:26:00Z</dcterms:modified>
</cp:coreProperties>
</file>