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00" w:rsidRPr="00AB146D" w:rsidRDefault="003F75BB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4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Додаток</w:t>
      </w:r>
    </w:p>
    <w:p w:rsidR="00644E00" w:rsidRPr="00AB146D" w:rsidRDefault="003F75BB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4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рішення</w:t>
      </w:r>
      <w:r w:rsidR="00ED5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Кременчуцької</w:t>
      </w:r>
      <w:r w:rsidRPr="00AB14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міської ради</w:t>
      </w:r>
      <w:r w:rsidR="00ED5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Кременчуцького району Полтавської області</w:t>
      </w:r>
    </w:p>
    <w:p w:rsidR="00644E00" w:rsidRPr="00AB146D" w:rsidRDefault="00A361DC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 квітня </w:t>
      </w:r>
      <w:r w:rsidR="003B2A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</w:t>
      </w:r>
      <w:r w:rsidR="003F75BB" w:rsidRPr="00AB14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</w:p>
    <w:p w:rsidR="0050634E" w:rsidRPr="00AB146D" w:rsidRDefault="005063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55"/>
      </w:tblGrid>
      <w:tr w:rsidR="00644E00" w:rsidRPr="00AB146D">
        <w:trPr>
          <w:trHeight w:val="360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44E00" w:rsidRPr="00AB146D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644E00" w:rsidRPr="00AB146D" w:rsidRDefault="00644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4E00" w:rsidRPr="00AB146D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="008E01F4"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</w:t>
            </w:r>
            <w:r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="008E01F4"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</w:p>
          <w:p w:rsidR="00644E00" w:rsidRPr="00AB146D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</w:t>
            </w:r>
          </w:p>
          <w:p w:rsidR="00751B96" w:rsidRDefault="00751B96" w:rsidP="00751B96">
            <w:pPr>
              <w:tabs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ПЕРЕДАВАЛЬНИЙ АКТ</w:t>
            </w:r>
          </w:p>
          <w:p w:rsidR="00751B96" w:rsidRDefault="00751B96" w:rsidP="00751B96">
            <w:pPr>
              <w:tabs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1B96" w:rsidRDefault="00751B96" w:rsidP="00751B96">
            <w:pPr>
              <w:tabs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про передачу від комунального некомерційного медичного підприємства  «Кременчуцьк</w:t>
            </w:r>
            <w:r w:rsidR="003B2A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 міська дитяча лікарня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 до комунального некомерційного медичного підприємства «Лікарня інтенсивного лікування «Кременчуцька»</w:t>
            </w:r>
            <w:r w:rsidR="00A36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майна, майнових прав та інших обов’язків</w:t>
            </w:r>
          </w:p>
          <w:p w:rsidR="00751B96" w:rsidRDefault="00751B96" w:rsidP="00751B9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1B96" w:rsidRDefault="00751B96" w:rsidP="00751B96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1B96" w:rsidRDefault="00751B96" w:rsidP="00751B96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м. Кременчук     </w:t>
            </w:r>
            <w:r w:rsidR="00ED51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</w:t>
            </w:r>
            <w:r w:rsidR="00DE79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</w:t>
            </w:r>
            <w:r w:rsidR="00A36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29 березня </w:t>
            </w:r>
            <w:r w:rsidR="003B2A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  <w:r w:rsidR="00ED51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року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</w:p>
          <w:p w:rsidR="00751B96" w:rsidRDefault="00751B96" w:rsidP="00751B96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</w:t>
            </w:r>
          </w:p>
          <w:p w:rsidR="00751B96" w:rsidRDefault="00751B96" w:rsidP="00751B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1B96" w:rsidRDefault="00751B96" w:rsidP="00751B9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Голова комісії</w:t>
            </w:r>
            <w:r w:rsidR="005A3C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 припинення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751B96" w:rsidRDefault="00751B96" w:rsidP="00751B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1B96" w:rsidRDefault="00751B96" w:rsidP="00751B96">
            <w:pPr>
              <w:tabs>
                <w:tab w:val="left" w:pos="69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="003B2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Герман Руслан Володимирович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751B96" w:rsidRDefault="00751B96" w:rsidP="00751B9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Заступник голови комісії</w:t>
            </w:r>
            <w:r w:rsidR="005A3C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 припинення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751B96" w:rsidRDefault="00751B96" w:rsidP="00751B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1B96" w:rsidRDefault="003B2AC4" w:rsidP="00751B96">
            <w:pPr>
              <w:tabs>
                <w:tab w:val="left" w:pos="690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Роман Ірина Іванівна </w:t>
            </w:r>
          </w:p>
          <w:p w:rsidR="00751B96" w:rsidRDefault="00751B96" w:rsidP="00751B96">
            <w:pPr>
              <w:tabs>
                <w:tab w:val="left" w:pos="690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1B96" w:rsidRDefault="00751B96" w:rsidP="00751B9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Члени комісії</w:t>
            </w:r>
            <w:r w:rsidR="005A3C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 припинення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751B96" w:rsidRDefault="00751B96" w:rsidP="00751B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1B96" w:rsidRDefault="003B2AC4" w:rsidP="00751B96">
            <w:pPr>
              <w:tabs>
                <w:tab w:val="left" w:pos="690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751B96" w:rsidRDefault="00751B96" w:rsidP="00A361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A36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2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Базишина</w:t>
            </w:r>
            <w:proofErr w:type="spellEnd"/>
            <w:r w:rsidR="003B2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Ірина Анатоліївна    -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 бухгалтер Централізованої бухгалтерії Департаменту охорони здоров’я Кременчуцької міської ради Кременчуцького району Полта</w:t>
            </w:r>
            <w:r w:rsidR="004E3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вської 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2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B2AC4" w:rsidRDefault="00A361DC" w:rsidP="00751B96">
            <w:pPr>
              <w:tabs>
                <w:tab w:val="left" w:pos="69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proofErr w:type="spellStart"/>
            <w:r w:rsidR="003B2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Страшненко</w:t>
            </w:r>
            <w:proofErr w:type="spellEnd"/>
            <w:r w:rsidR="003B2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Олена Іванівна      -    головний бухгалтер </w:t>
            </w:r>
            <w:r w:rsidR="003B2AC4" w:rsidRPr="003B2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комунального некомерційного медичного підприємства «Лікарня інтенсивного лікування «Кременчуцька»</w:t>
            </w:r>
            <w:r w:rsidR="003B6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3B2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B2AC4" w:rsidRPr="003B2AC4" w:rsidRDefault="00A361DC" w:rsidP="00751B96">
            <w:pPr>
              <w:tabs>
                <w:tab w:val="left" w:pos="69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774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Баби</w:t>
            </w:r>
            <w:r w:rsidR="003B2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Юлія Анатоліївна  </w:t>
            </w:r>
            <w:r w:rsidR="003B2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 </w:t>
            </w:r>
            <w:proofErr w:type="spellStart"/>
            <w:r w:rsidR="00774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в.о</w:t>
            </w:r>
            <w:proofErr w:type="spellEnd"/>
            <w:r w:rsidR="00774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B2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заступник</w:t>
            </w:r>
            <w:r w:rsidR="00774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3B2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</w:t>
            </w:r>
            <w:r w:rsidR="00774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3B2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економічних питань </w:t>
            </w:r>
            <w:r w:rsidR="003B2AC4" w:rsidRPr="003B2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комунального некомерційного медичного підприємства «Лікарня інтенсивного лікування «Кременчуцька»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3B2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A361DC" w:rsidRDefault="00A361DC" w:rsidP="00A361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751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що діють на підставі рішення Кременчуцької міської ради </w:t>
            </w:r>
            <w:r w:rsidR="003F3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Кременчуцького району Полтавської області  від 04 серпня 2023</w:t>
            </w:r>
            <w:r w:rsidR="00751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року «Про  припинення  комунального некомерційного меди</w:t>
            </w:r>
            <w:r w:rsidR="003F3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чного підприємства </w:t>
            </w:r>
            <w:r w:rsidR="003F3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3F3A72" w:rsidRPr="003F3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Кременчуцька міська дитяча лікарня</w:t>
            </w:r>
            <w:r w:rsidR="00176016" w:rsidRPr="001760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="00751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уклали та підписали цей передавальний акт про наступне:</w:t>
            </w:r>
          </w:p>
          <w:p w:rsidR="00176016" w:rsidRPr="00176016" w:rsidRDefault="00A361DC" w:rsidP="00A361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</w:p>
          <w:p w:rsidR="00176016" w:rsidRPr="00176016" w:rsidRDefault="00176016" w:rsidP="00A361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35C0" w:rsidRPr="00AB146D" w:rsidRDefault="00751B96" w:rsidP="00176016">
            <w:pPr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Комісія з припинення комунального некомерційного медичного </w:t>
            </w:r>
            <w:r w:rsidR="003F3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підприємства </w:t>
            </w:r>
            <w:r w:rsidR="003F3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3F3A72" w:rsidRPr="003F3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Кременчуцька міська дитяча лікарня</w:t>
            </w:r>
            <w:r w:rsidR="003F3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передає майно, майнові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права та інші обов’язки, які відображені за бухгалтерськими рахунками,  які має комунальне некомерційне медичне підприємство «</w:t>
            </w:r>
            <w:r w:rsidR="008D1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Кременчуцьк</w:t>
            </w:r>
            <w:r w:rsidR="00F42FCE" w:rsidRPr="00F42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F42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міська дитяча лікарня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станом на дату складання передавального акту, за наступним переліком:  </w:t>
            </w:r>
          </w:p>
          <w:p w:rsidR="000535C0" w:rsidRDefault="000535C0" w:rsidP="0005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61DC" w:rsidRPr="00AB146D" w:rsidRDefault="00A361DC" w:rsidP="0005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6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1"/>
              <w:gridCol w:w="5159"/>
            </w:tblGrid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bottom w:val="nil"/>
                  </w:tcBorders>
                </w:tcPr>
                <w:p w:rsidR="000535C0" w:rsidRPr="00AB146D" w:rsidRDefault="000535C0" w:rsidP="000535C0">
                  <w:pPr>
                    <w:pStyle w:val="1"/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br w:type="page"/>
                  </w: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br w:type="page"/>
                  </w:r>
                  <w:r w:rsidRPr="00AB14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АКТИВ</w:t>
                  </w:r>
                </w:p>
              </w:tc>
              <w:tc>
                <w:tcPr>
                  <w:tcW w:w="5159" w:type="dxa"/>
                  <w:tcBorders>
                    <w:bottom w:val="single" w:sz="4" w:space="0" w:color="auto"/>
                  </w:tcBorders>
                </w:tcPr>
                <w:p w:rsidR="00391F20" w:rsidRDefault="000535C0" w:rsidP="00391F2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 дату </w:t>
                  </w:r>
                  <w:r w:rsidR="00ED51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01.03.2023</w:t>
                  </w:r>
                  <w:r w:rsidR="00391F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  <w:p w:rsidR="00ED5162" w:rsidRPr="00AB146D" w:rsidRDefault="00391F20" w:rsidP="00391F2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440D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(грн.)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  <w:shd w:val="pct30" w:color="auto" w:fill="FFFFFF"/>
                </w:tcPr>
                <w:p w:rsidR="000535C0" w:rsidRPr="00AB146D" w:rsidRDefault="000535C0" w:rsidP="000535C0">
                  <w:pPr>
                    <w:pStyle w:val="4"/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І. НЕОБОРОТНІ АКТИВИ</w:t>
                  </w:r>
                </w:p>
              </w:tc>
              <w:tc>
                <w:tcPr>
                  <w:tcW w:w="5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auto" w:fill="FFFFFF"/>
                </w:tcPr>
                <w:p w:rsidR="000535C0" w:rsidRPr="00AB146D" w:rsidRDefault="000535C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pStyle w:val="3"/>
                    <w:suppressLineNumbers/>
                    <w:suppressAutoHyphens/>
                    <w:rPr>
                      <w:rFonts w:ascii="Times New Roman" w:hAnsi="Times New Roman" w:cs="Times New Roman"/>
                      <w:b w:val="0"/>
                    </w:rPr>
                  </w:pPr>
                  <w:r w:rsidRPr="00AB146D">
                    <w:rPr>
                      <w:rFonts w:ascii="Times New Roman" w:hAnsi="Times New Roman" w:cs="Times New Roman"/>
                      <w:b w:val="0"/>
                    </w:rPr>
                    <w:t xml:space="preserve">Основні засоби </w:t>
                  </w:r>
                </w:p>
              </w:tc>
              <w:tc>
                <w:tcPr>
                  <w:tcW w:w="51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Залишкова вартість 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A3083E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106303340,66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Знос 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A3083E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49130779,05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Первісна вартість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8430B9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155434119,71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pStyle w:val="3"/>
                    <w:suppressLineNumbers/>
                    <w:suppressAutoHyphens/>
                    <w:ind w:right="-161"/>
                    <w:rPr>
                      <w:rFonts w:ascii="Times New Roman" w:hAnsi="Times New Roman" w:cs="Times New Roman"/>
                      <w:b w:val="0"/>
                    </w:rPr>
                  </w:pPr>
                  <w:r w:rsidRPr="00AB146D">
                    <w:rPr>
                      <w:rFonts w:ascii="Times New Roman" w:hAnsi="Times New Roman" w:cs="Times New Roman"/>
                      <w:b w:val="0"/>
                    </w:rPr>
                    <w:t xml:space="preserve">Інші необоротні матеріальні активи 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Залишкова вартість 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8430B9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3846414,20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Знос  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8430B9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3736517,79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bottom w:val="nil"/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Первісна вартість 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8430B9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7582931,99</w:t>
                  </w:r>
                </w:p>
              </w:tc>
            </w:tr>
            <w:tr w:rsidR="00BE020E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bottom w:val="nil"/>
                    <w:right w:val="single" w:sz="4" w:space="0" w:color="auto"/>
                  </w:tcBorders>
                </w:tcPr>
                <w:p w:rsidR="00BE020E" w:rsidRPr="00BE020E" w:rsidRDefault="00BE020E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Усього за розділом І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020E" w:rsidRPr="00BE020E" w:rsidRDefault="00A3083E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110149754,86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  <w:shd w:val="pct30" w:color="auto" w:fill="FFFFFF"/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ІІ. ОБОРОТНІ АКТИВИ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pct30" w:color="auto" w:fill="FFFFFF"/>
                  <w:vAlign w:val="center"/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Матеріали і продукти харчування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8430B9" w:rsidRDefault="008430B9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6769744,66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Малоцінні та швидкозношувані предмети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8430B9" w:rsidRDefault="008430B9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779482,00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ind w:right="-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Інші запаси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8430B9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83,21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Дебіторська заборгованість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Розрахунки з постачальниками, підрядниками за  товари, роботи й послуги 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Розрахунки із податків та платежів 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Розрахунки із страхування 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404162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Інша поточна дебіторська заборгованість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8430B9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648302,02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Рахунки в казначействі загального фонду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Рахунки в казначействі спеціального фонду 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1F73F0" w:rsidRDefault="001F73F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Готівка в касі в національній валюті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1F73F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Поточні рахунки в банках в національній валюті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8430B9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203301,79</w:t>
                  </w:r>
                </w:p>
              </w:tc>
            </w:tr>
            <w:tr w:rsidR="000535C0" w:rsidRPr="00AB146D" w:rsidTr="00AB146D">
              <w:trPr>
                <w:cantSplit/>
                <w:trHeight w:val="132"/>
              </w:trPr>
              <w:tc>
                <w:tcPr>
                  <w:tcW w:w="4531" w:type="dxa"/>
                  <w:tcBorders>
                    <w:bottom w:val="nil"/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ind w:right="-1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Інші рахунки в казначействі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E020E" w:rsidRPr="00AB146D" w:rsidTr="00AB146D">
              <w:trPr>
                <w:cantSplit/>
                <w:trHeight w:val="132"/>
              </w:trPr>
              <w:tc>
                <w:tcPr>
                  <w:tcW w:w="4531" w:type="dxa"/>
                  <w:tcBorders>
                    <w:bottom w:val="nil"/>
                    <w:right w:val="single" w:sz="4" w:space="0" w:color="auto"/>
                  </w:tcBorders>
                </w:tcPr>
                <w:p w:rsidR="00BE020E" w:rsidRPr="00BE020E" w:rsidRDefault="00BE020E" w:rsidP="000535C0">
                  <w:pPr>
                    <w:suppressLineNumbers/>
                    <w:suppressAutoHyphens/>
                    <w:ind w:right="-16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Усього за розділом ІІ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020E" w:rsidRPr="00BE020E" w:rsidRDefault="00BE020E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8400913,68</w:t>
                  </w:r>
                </w:p>
              </w:tc>
            </w:tr>
            <w:tr w:rsidR="000535C0" w:rsidRPr="00AB146D" w:rsidTr="00AB146D">
              <w:trPr>
                <w:cantSplit/>
                <w:trHeight w:val="380"/>
              </w:trPr>
              <w:tc>
                <w:tcPr>
                  <w:tcW w:w="45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auto" w:fill="FFFFFF"/>
                </w:tcPr>
                <w:p w:rsidR="000535C0" w:rsidRPr="00AB146D" w:rsidRDefault="000535C0" w:rsidP="000535C0">
                  <w:pPr>
                    <w:pStyle w:val="51"/>
                    <w:keepNext w:val="0"/>
                    <w:suppressLineNumbers/>
                    <w:suppressAutoHyphens/>
                    <w:jc w:val="center"/>
                    <w:rPr>
                      <w:b/>
                      <w:snapToGrid/>
                      <w:sz w:val="28"/>
                      <w:szCs w:val="28"/>
                      <w:lang w:val="ru-RU"/>
                    </w:rPr>
                  </w:pPr>
                  <w:r w:rsidRPr="00AB146D">
                    <w:rPr>
                      <w:b/>
                      <w:snapToGrid/>
                      <w:sz w:val="28"/>
                      <w:szCs w:val="28"/>
                      <w:lang w:val="ru-RU"/>
                    </w:rPr>
                    <w:t>БАЛАНС</w:t>
                  </w:r>
                </w:p>
              </w:tc>
              <w:tc>
                <w:tcPr>
                  <w:tcW w:w="5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auto" w:fill="FFFFFF"/>
                  <w:vAlign w:val="center"/>
                </w:tcPr>
                <w:p w:rsidR="000535C0" w:rsidRPr="00BE020E" w:rsidRDefault="00A3083E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118550668,54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5C0" w:rsidRPr="00AB146D" w:rsidRDefault="000535C0" w:rsidP="0050634E">
                  <w:pPr>
                    <w:pStyle w:val="4"/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br w:type="page"/>
                    <w:t xml:space="preserve">  ПАСИВ</w:t>
                  </w:r>
                </w:p>
              </w:tc>
              <w:tc>
                <w:tcPr>
                  <w:tcW w:w="5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 дату </w:t>
                  </w:r>
                  <w:r w:rsidR="00391F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01.03.2023</w:t>
                  </w:r>
                </w:p>
                <w:p w:rsidR="000535C0" w:rsidRPr="00AB146D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(грн.)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top w:val="single" w:sz="4" w:space="0" w:color="auto"/>
                    <w:right w:val="single" w:sz="4" w:space="0" w:color="auto"/>
                  </w:tcBorders>
                  <w:shd w:val="pct30" w:color="auto" w:fill="auto"/>
                </w:tcPr>
                <w:p w:rsidR="000535C0" w:rsidRPr="00AB146D" w:rsidRDefault="000535C0" w:rsidP="000535C0">
                  <w:pPr>
                    <w:pStyle w:val="4"/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І. ВЛАСНИЙ КАПІТАЛ</w:t>
                  </w:r>
                </w:p>
              </w:tc>
              <w:tc>
                <w:tcPr>
                  <w:tcW w:w="51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30" w:color="auto" w:fill="auto"/>
                </w:tcPr>
                <w:p w:rsidR="000535C0" w:rsidRPr="00AB146D" w:rsidRDefault="000535C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DE7907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Додатковий капітал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35C0" w:rsidRPr="00AB146D" w:rsidRDefault="001C4F51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36674287,56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DE7907" w:rsidP="000535C0">
                  <w:pPr>
                    <w:pStyle w:val="11"/>
                    <w:suppressLineNumbers/>
                    <w:suppressAutoHyphens/>
                    <w:rPr>
                      <w:snapToGrid/>
                      <w:sz w:val="28"/>
                      <w:szCs w:val="28"/>
                      <w:lang w:val="uk-UA"/>
                    </w:rPr>
                  </w:pPr>
                  <w:r>
                    <w:rPr>
                      <w:snapToGrid/>
                      <w:sz w:val="28"/>
                      <w:szCs w:val="28"/>
                      <w:lang w:val="uk-UA"/>
                    </w:rPr>
                    <w:t>Нерозподілений прибуток (непокритий збиток)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35C0" w:rsidRPr="00AB146D" w:rsidRDefault="000500AD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-103610,89</w:t>
                  </w:r>
                </w:p>
              </w:tc>
            </w:tr>
            <w:tr w:rsidR="00BE020E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BE020E" w:rsidRPr="00BE020E" w:rsidRDefault="00BE020E" w:rsidP="000535C0">
                  <w:pPr>
                    <w:pStyle w:val="11"/>
                    <w:suppressLineNumbers/>
                    <w:suppressAutoHyphens/>
                    <w:rPr>
                      <w:b/>
                      <w:snapToGrid/>
                      <w:sz w:val="28"/>
                      <w:szCs w:val="28"/>
                      <w:lang w:val="uk-UA"/>
                    </w:rPr>
                  </w:pPr>
                  <w:r w:rsidRPr="00BE020E">
                    <w:rPr>
                      <w:b/>
                      <w:snapToGrid/>
                      <w:sz w:val="28"/>
                      <w:szCs w:val="28"/>
                      <w:lang w:val="uk-UA"/>
                    </w:rPr>
                    <w:t>У</w:t>
                  </w:r>
                  <w:r>
                    <w:rPr>
                      <w:b/>
                      <w:snapToGrid/>
                      <w:sz w:val="28"/>
                      <w:szCs w:val="28"/>
                      <w:lang w:val="uk-UA"/>
                    </w:rPr>
                    <w:t>сього за розділом І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679C" w:rsidRPr="00AB146D" w:rsidRDefault="000500AD" w:rsidP="002F679C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36570676,67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auto" w:fill="auto"/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ІІ. ЗОБОВ’ЯЗАННЯ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auto" w:fill="auto"/>
                  <w:vAlign w:val="center"/>
                </w:tcPr>
                <w:p w:rsidR="000535C0" w:rsidRPr="00BE020E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pStyle w:val="11"/>
                    <w:suppressLineNumbers/>
                    <w:suppressAutoHyphens/>
                    <w:jc w:val="both"/>
                    <w:rPr>
                      <w:snapToGrid/>
                      <w:sz w:val="28"/>
                      <w:szCs w:val="28"/>
                      <w:lang w:val="uk-UA"/>
                    </w:rPr>
                  </w:pPr>
                  <w:r w:rsidRPr="00AB146D">
                    <w:rPr>
                      <w:snapToGrid/>
                      <w:sz w:val="28"/>
                      <w:szCs w:val="28"/>
                      <w:lang w:val="uk-UA"/>
                    </w:rPr>
                    <w:t xml:space="preserve">Поточна заборгованість за довгостроковими зобов’язаннями  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pStyle w:val="11"/>
                    <w:suppressLineNumbers/>
                    <w:suppressAutoHyphens/>
                    <w:rPr>
                      <w:snapToGrid/>
                      <w:sz w:val="28"/>
                      <w:szCs w:val="28"/>
                      <w:lang w:val="uk-UA"/>
                    </w:rPr>
                  </w:pPr>
                  <w:r w:rsidRPr="00AB146D">
                    <w:rPr>
                      <w:snapToGrid/>
                      <w:sz w:val="28"/>
                      <w:szCs w:val="28"/>
                      <w:lang w:val="uk-UA"/>
                    </w:rPr>
                    <w:t>Кредиторська заборгованість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EF5018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EF5018" w:rsidRPr="00AB146D" w:rsidRDefault="00EF5018" w:rsidP="000535C0">
                  <w:pPr>
                    <w:pStyle w:val="11"/>
                    <w:suppressLineNumbers/>
                    <w:suppressAutoHyphens/>
                    <w:rPr>
                      <w:snapToGrid/>
                      <w:sz w:val="28"/>
                      <w:szCs w:val="28"/>
                      <w:lang w:val="uk-UA"/>
                    </w:rPr>
                  </w:pPr>
                  <w:r>
                    <w:rPr>
                      <w:snapToGrid/>
                      <w:sz w:val="28"/>
                      <w:szCs w:val="28"/>
                      <w:lang w:val="uk-UA"/>
                    </w:rPr>
                    <w:t>В тому числі: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F5018" w:rsidRPr="00AB146D" w:rsidRDefault="00EF5018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Розрахунки з постачальниками, підрядниками за товари, роботи й послуги 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35C0" w:rsidRDefault="000500AD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7052816,16</w:t>
                  </w:r>
                </w:p>
                <w:p w:rsidR="000500AD" w:rsidRPr="00AB146D" w:rsidRDefault="000500AD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Розрахунки за спеціальними видами платежів  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Розрахунки із податків та платежів 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35C0" w:rsidRPr="00A3083E" w:rsidRDefault="000500AD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874200,09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Розрахунки із страхування  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35C0" w:rsidRPr="00DE7907" w:rsidRDefault="001C4F51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934673,79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0535C0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Розрахунки із заробітної плати 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35C0" w:rsidRPr="00DE7907" w:rsidRDefault="000500AD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3454937,47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right w:val="single" w:sz="4" w:space="0" w:color="auto"/>
                  </w:tcBorders>
                </w:tcPr>
                <w:p w:rsidR="000535C0" w:rsidRPr="00AB146D" w:rsidRDefault="00DE7907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Доходи майбутніх періодів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35C0" w:rsidRPr="00DE7907" w:rsidRDefault="001C4F51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69546546,31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535C0" w:rsidRPr="00DE7907" w:rsidRDefault="00DE7907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Інші поточні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зобов</w:t>
                  </w:r>
                  <w:r w:rsidRPr="00DE79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”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язання</w:t>
                  </w:r>
                  <w:proofErr w:type="spellEnd"/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35C0" w:rsidRPr="00DE7907" w:rsidRDefault="001C4F51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116818,05</w:t>
                  </w:r>
                </w:p>
              </w:tc>
            </w:tr>
            <w:tr w:rsidR="000535C0" w:rsidRPr="00AB146D" w:rsidTr="00AB146D">
              <w:trPr>
                <w:cantSplit/>
                <w:trHeight w:val="179"/>
              </w:trPr>
              <w:tc>
                <w:tcPr>
                  <w:tcW w:w="453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535C0" w:rsidRPr="00BE020E" w:rsidRDefault="00BE020E" w:rsidP="000535C0">
                  <w:pPr>
                    <w:suppressLineNumbers/>
                    <w:suppressAutoHyphens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Усього за розділом ІІ</w:t>
                  </w:r>
                </w:p>
              </w:tc>
              <w:tc>
                <w:tcPr>
                  <w:tcW w:w="5159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F679C" w:rsidRPr="002F679C" w:rsidRDefault="000500AD" w:rsidP="002F679C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81979991,87</w:t>
                  </w:r>
                </w:p>
              </w:tc>
            </w:tr>
            <w:tr w:rsidR="000535C0" w:rsidRPr="00AB146D" w:rsidTr="00AB146D">
              <w:trPr>
                <w:cantSplit/>
                <w:trHeight w:val="482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auto" w:fill="auto"/>
                </w:tcPr>
                <w:p w:rsidR="000535C0" w:rsidRPr="00AB146D" w:rsidRDefault="000535C0" w:rsidP="000535C0">
                  <w:pPr>
                    <w:pStyle w:val="4"/>
                    <w:suppressLineNumbers/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1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БАЛАНС</w:t>
                  </w:r>
                </w:p>
              </w:tc>
              <w:tc>
                <w:tcPr>
                  <w:tcW w:w="5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auto" w:fill="auto"/>
                  <w:vAlign w:val="center"/>
                </w:tcPr>
                <w:p w:rsidR="000535C0" w:rsidRDefault="00A3083E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118550668,54</w:t>
                  </w:r>
                </w:p>
                <w:p w:rsidR="00A3083E" w:rsidRPr="00DE7907" w:rsidRDefault="00A3083E" w:rsidP="000535C0">
                  <w:pPr>
                    <w:suppressLineNumbers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535C0" w:rsidRPr="00AB146D" w:rsidRDefault="000535C0" w:rsidP="0005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4E00" w:rsidRDefault="003F75BB" w:rsidP="0076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 акту приймання передачі додається:</w:t>
            </w:r>
          </w:p>
          <w:p w:rsidR="002F679C" w:rsidRPr="00AB146D" w:rsidRDefault="002F679C" w:rsidP="0076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4E00" w:rsidRPr="00AB146D" w:rsidRDefault="003F75BB" w:rsidP="003B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Додаток до передавального акту про передачу від комунального некомерційного медичного підприємства </w:t>
            </w:r>
            <w:r w:rsidR="003F3A72" w:rsidRPr="003F3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«Кременчуцька міська дитяча лікарня» </w:t>
            </w:r>
            <w:r w:rsidRPr="00AB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комунального некомерційного </w:t>
            </w:r>
            <w:r w:rsidR="007655B4" w:rsidRPr="00AB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медичного підприємства «Л</w:t>
            </w:r>
            <w:r w:rsidR="00F42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ікарня інтенсивного лікування «</w:t>
            </w:r>
            <w:r w:rsidR="007655B4" w:rsidRPr="00AB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Кременчуцька</w:t>
            </w:r>
            <w:r w:rsidRPr="00AB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42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AB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майна,  майнових прав та інших обов’язків на  </w:t>
            </w:r>
            <w:r w:rsidR="00E1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  <w:r w:rsidRPr="00AB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аркушах.</w:t>
            </w:r>
          </w:p>
          <w:p w:rsidR="00644E00" w:rsidRPr="00AB146D" w:rsidRDefault="00644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4E00" w:rsidRPr="00AB146D" w:rsidRDefault="00644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E00" w:rsidRPr="00AB146D">
        <w:trPr>
          <w:trHeight w:val="360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44E00" w:rsidRPr="00AB146D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Голова комісії</w:t>
            </w:r>
            <w:r w:rsidR="005A3C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 припинення</w:t>
            </w:r>
            <w:r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 xml:space="preserve">   </w:t>
            </w:r>
            <w:r w:rsidR="005A3C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D95D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Руслан ГЕРМАН</w:t>
            </w:r>
          </w:p>
          <w:p w:rsidR="00644E00" w:rsidRPr="00AB146D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</w:t>
            </w:r>
          </w:p>
          <w:p w:rsidR="00644E00" w:rsidRPr="00AB146D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Заступник голови комісії</w:t>
            </w:r>
            <w:r w:rsidR="005A3C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 припинення</w:t>
            </w:r>
            <w:r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                </w:t>
            </w:r>
            <w:r w:rsidR="00D95D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Ірина РОМАН</w:t>
            </w:r>
            <w:r w:rsidR="007655B4"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</w:t>
            </w:r>
          </w:p>
          <w:p w:rsidR="00644E00" w:rsidRPr="00AB146D" w:rsidRDefault="00644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4E00" w:rsidRPr="00AB146D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Члени комісії</w:t>
            </w:r>
            <w:r w:rsidR="005A3C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 припинення </w:t>
            </w:r>
            <w:r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         </w:t>
            </w:r>
            <w:r w:rsidR="005A3C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</w:t>
            </w:r>
            <w:r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</w:t>
            </w:r>
          </w:p>
          <w:p w:rsidR="00644E00" w:rsidRDefault="003F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7655B4"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Ірина БАЗИШИНА</w:t>
            </w:r>
          </w:p>
          <w:p w:rsidR="00D95D3B" w:rsidRDefault="00D95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D95D3B" w:rsidRDefault="00D95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Олена СТРАШНЕНКО</w:t>
            </w:r>
          </w:p>
          <w:p w:rsidR="00D95D3B" w:rsidRDefault="00D95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44E00" w:rsidRPr="00AB146D" w:rsidRDefault="00D95D3B" w:rsidP="00897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 w:rsidR="007748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Юлія БАБИ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  <w:r w:rsidR="003F75BB" w:rsidRPr="00AB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:rsidR="00644E00" w:rsidRPr="00AB146D" w:rsidRDefault="00644E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44E00" w:rsidRPr="00AB146D" w:rsidSect="00AB146D">
      <w:headerReference w:type="even" r:id="rId9"/>
      <w:pgSz w:w="11907" w:h="16840"/>
      <w:pgMar w:top="709" w:right="567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EE" w:rsidRDefault="00ED57EE">
      <w:r>
        <w:separator/>
      </w:r>
    </w:p>
  </w:endnote>
  <w:endnote w:type="continuationSeparator" w:id="0">
    <w:p w:rsidR="00ED57EE" w:rsidRDefault="00ED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EE" w:rsidRDefault="00ED57EE">
      <w:r>
        <w:separator/>
      </w:r>
    </w:p>
  </w:footnote>
  <w:footnote w:type="continuationSeparator" w:id="0">
    <w:p w:rsidR="00ED57EE" w:rsidRDefault="00ED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00" w:rsidRDefault="003F75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644E00" w:rsidRDefault="00644E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77ECA"/>
    <w:multiLevelType w:val="multilevel"/>
    <w:tmpl w:val="BC2C80EC"/>
    <w:lvl w:ilvl="0">
      <w:start w:val="2"/>
      <w:numFmt w:val="bullet"/>
      <w:lvlText w:val="-"/>
      <w:lvlJc w:val="left"/>
      <w:pPr>
        <w:ind w:left="110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6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4E00"/>
    <w:rsid w:val="0002076D"/>
    <w:rsid w:val="000500AD"/>
    <w:rsid w:val="000535C0"/>
    <w:rsid w:val="000731B3"/>
    <w:rsid w:val="000D0CBD"/>
    <w:rsid w:val="00175EAA"/>
    <w:rsid w:val="00176016"/>
    <w:rsid w:val="00182BC2"/>
    <w:rsid w:val="001C4F51"/>
    <w:rsid w:val="001F73F0"/>
    <w:rsid w:val="00251627"/>
    <w:rsid w:val="002F679C"/>
    <w:rsid w:val="00345FEB"/>
    <w:rsid w:val="00391F20"/>
    <w:rsid w:val="003A797B"/>
    <w:rsid w:val="003B2AC4"/>
    <w:rsid w:val="003B6963"/>
    <w:rsid w:val="003F3A72"/>
    <w:rsid w:val="003F75BB"/>
    <w:rsid w:val="00404162"/>
    <w:rsid w:val="00440D66"/>
    <w:rsid w:val="004E3DF8"/>
    <w:rsid w:val="0050634E"/>
    <w:rsid w:val="00515AA1"/>
    <w:rsid w:val="00586D9E"/>
    <w:rsid w:val="005A3C6C"/>
    <w:rsid w:val="00644E00"/>
    <w:rsid w:val="00686876"/>
    <w:rsid w:val="006B62FF"/>
    <w:rsid w:val="00705692"/>
    <w:rsid w:val="00751B96"/>
    <w:rsid w:val="007655B4"/>
    <w:rsid w:val="00774849"/>
    <w:rsid w:val="00821774"/>
    <w:rsid w:val="008430B9"/>
    <w:rsid w:val="00890BE2"/>
    <w:rsid w:val="008970D4"/>
    <w:rsid w:val="008D199D"/>
    <w:rsid w:val="008E01F4"/>
    <w:rsid w:val="00997B48"/>
    <w:rsid w:val="009A64D2"/>
    <w:rsid w:val="009B68EE"/>
    <w:rsid w:val="00A3083E"/>
    <w:rsid w:val="00A361DC"/>
    <w:rsid w:val="00AB146D"/>
    <w:rsid w:val="00AE253C"/>
    <w:rsid w:val="00B20317"/>
    <w:rsid w:val="00B44665"/>
    <w:rsid w:val="00B4503B"/>
    <w:rsid w:val="00B5688E"/>
    <w:rsid w:val="00B866C7"/>
    <w:rsid w:val="00BC5E27"/>
    <w:rsid w:val="00BE020E"/>
    <w:rsid w:val="00C565C5"/>
    <w:rsid w:val="00CD2918"/>
    <w:rsid w:val="00CD4357"/>
    <w:rsid w:val="00D06D69"/>
    <w:rsid w:val="00D85257"/>
    <w:rsid w:val="00D95D3B"/>
    <w:rsid w:val="00DC4DF0"/>
    <w:rsid w:val="00DE7907"/>
    <w:rsid w:val="00E11C65"/>
    <w:rsid w:val="00ED5162"/>
    <w:rsid w:val="00ED57EE"/>
    <w:rsid w:val="00ED5D03"/>
    <w:rsid w:val="00EF5018"/>
    <w:rsid w:val="00F42FCE"/>
    <w:rsid w:val="00F72B8D"/>
    <w:rsid w:val="00FB572A"/>
    <w:rsid w:val="00FC1AC2"/>
    <w:rsid w:val="00FC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nhideWhenUsed/>
    <w:qFormat/>
    <w:rsid w:val="000535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35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0535C0"/>
    <w:rPr>
      <w:b/>
      <w:sz w:val="48"/>
      <w:szCs w:val="48"/>
    </w:rPr>
  </w:style>
  <w:style w:type="character" w:customStyle="1" w:styleId="30">
    <w:name w:val="Заголовок 3 Знак"/>
    <w:basedOn w:val="a0"/>
    <w:link w:val="3"/>
    <w:rsid w:val="000535C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0535C0"/>
    <w:rPr>
      <w:b/>
      <w:sz w:val="24"/>
      <w:szCs w:val="24"/>
    </w:rPr>
  </w:style>
  <w:style w:type="paragraph" w:customStyle="1" w:styleId="11">
    <w:name w:val="Обычный1"/>
    <w:rsid w:val="000535C0"/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51">
    <w:name w:val="заголовок 51"/>
    <w:basedOn w:val="11"/>
    <w:next w:val="11"/>
    <w:rsid w:val="000535C0"/>
    <w:pPr>
      <w:keepNext/>
    </w:pPr>
    <w:rPr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nhideWhenUsed/>
    <w:qFormat/>
    <w:rsid w:val="000535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35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0535C0"/>
    <w:rPr>
      <w:b/>
      <w:sz w:val="48"/>
      <w:szCs w:val="48"/>
    </w:rPr>
  </w:style>
  <w:style w:type="character" w:customStyle="1" w:styleId="30">
    <w:name w:val="Заголовок 3 Знак"/>
    <w:basedOn w:val="a0"/>
    <w:link w:val="3"/>
    <w:rsid w:val="000535C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0535C0"/>
    <w:rPr>
      <w:b/>
      <w:sz w:val="24"/>
      <w:szCs w:val="24"/>
    </w:rPr>
  </w:style>
  <w:style w:type="paragraph" w:customStyle="1" w:styleId="11">
    <w:name w:val="Обычный1"/>
    <w:rsid w:val="000535C0"/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51">
    <w:name w:val="заголовок 51"/>
    <w:basedOn w:val="11"/>
    <w:next w:val="11"/>
    <w:rsid w:val="000535C0"/>
    <w:pPr>
      <w:keepNext/>
    </w:pPr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86F33-1462-457B-9D4A-FAC54D26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38</cp:revision>
  <cp:lastPrinted>2024-04-11T12:02:00Z</cp:lastPrinted>
  <dcterms:created xsi:type="dcterms:W3CDTF">2022-11-04T08:22:00Z</dcterms:created>
  <dcterms:modified xsi:type="dcterms:W3CDTF">2024-04-11T12:02:00Z</dcterms:modified>
</cp:coreProperties>
</file>