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27" w:rsidRDefault="00630627" w:rsidP="006306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062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-74295</wp:posOffset>
            </wp:positionV>
            <wp:extent cx="1024890" cy="914400"/>
            <wp:effectExtent l="19050" t="0" r="381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627" w:rsidRPr="00630627" w:rsidRDefault="00630627" w:rsidP="00630627"/>
    <w:p w:rsidR="00630627" w:rsidRPr="00630627" w:rsidRDefault="00630627" w:rsidP="00630627">
      <w:pPr>
        <w:rPr>
          <w:lang w:val="uk-UA"/>
        </w:rPr>
      </w:pPr>
    </w:p>
    <w:p w:rsidR="00630627" w:rsidRPr="00630627" w:rsidRDefault="00630627" w:rsidP="00630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27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630627" w:rsidRPr="00630627" w:rsidRDefault="00630627" w:rsidP="00630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27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630627" w:rsidRPr="00630627" w:rsidRDefault="00630627" w:rsidP="00630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27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Pr="00630627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630627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</w:t>
      </w:r>
      <w:r w:rsidRPr="0063062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30627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630627" w:rsidRPr="00630627" w:rsidRDefault="00630627" w:rsidP="00630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627" w:rsidRPr="00630627" w:rsidRDefault="00630627" w:rsidP="00630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6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627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630627" w:rsidRPr="00630627" w:rsidRDefault="00630627" w:rsidP="0063062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306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01 березня 2024 року                                                   </w:t>
      </w:r>
    </w:p>
    <w:p w:rsidR="00630627" w:rsidRPr="00630627" w:rsidRDefault="00630627" w:rsidP="006306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630627">
        <w:rPr>
          <w:rFonts w:ascii="Times New Roman" w:hAnsi="Times New Roman" w:cs="Times New Roman"/>
          <w:sz w:val="20"/>
          <w:szCs w:val="20"/>
          <w:lang w:val="uk-UA"/>
        </w:rPr>
        <w:t xml:space="preserve">м. Кременчук </w:t>
      </w:r>
    </w:p>
    <w:p w:rsidR="00630627" w:rsidRPr="00630627" w:rsidRDefault="00630627" w:rsidP="0063062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627" w:rsidRPr="00630627" w:rsidRDefault="00630627" w:rsidP="0063062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line="240" w:lineRule="auto"/>
        <w:ind w:right="453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306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15 грудня 2023 року «</w:t>
      </w:r>
      <w:r w:rsidRPr="0063062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Міської цільової програми з утвердження української національної та громадянської ідентичності на 2024-2026 роки у Кременчуцькій</w:t>
      </w:r>
      <w:r w:rsidRPr="00630627">
        <w:rPr>
          <w:rFonts w:ascii="Times New Roman" w:hAnsi="Times New Roman" w:cs="Times New Roman"/>
          <w:b/>
          <w:sz w:val="28"/>
          <w:szCs w:val="28"/>
        </w:rPr>
        <w:t> </w:t>
      </w:r>
      <w:r w:rsidRPr="00630627">
        <w:rPr>
          <w:rFonts w:ascii="Times New Roman" w:hAnsi="Times New Roman" w:cs="Times New Roman"/>
          <w:b/>
          <w:sz w:val="28"/>
          <w:szCs w:val="28"/>
          <w:lang w:val="uk-UA"/>
        </w:rPr>
        <w:t>міській територіальній громаді»</w:t>
      </w:r>
    </w:p>
    <w:p w:rsidR="00630627" w:rsidRPr="00630627" w:rsidRDefault="00630627" w:rsidP="0063062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0627" w:rsidRPr="00630627" w:rsidRDefault="00630627" w:rsidP="006306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62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Указом Президента України від 18 травня 2019 року №286/2019 «Про Стратегію національно-патріотичного виховання», відповідно до розпорядження Кабінету Міністрів України від 9 жовтня 2020 року № 932 «Про затвердження плану дій щодо реалізації Стратегії національно-патріотичного виховання дітей та молоді на 2020-2025 роки», Концепції національно-патріотичного виховання дітей та молоді, затвердженої наказом Міністерства освіти і науки України </w:t>
      </w:r>
      <w:hyperlink r:id="rId5" w:tgtFrame="_blank" w:history="1">
        <w:r w:rsidRPr="00630627">
          <w:rPr>
            <w:rFonts w:ascii="Times New Roman" w:hAnsi="Times New Roman" w:cs="Times New Roman"/>
            <w:sz w:val="28"/>
            <w:szCs w:val="28"/>
            <w:lang w:val="uk-UA"/>
          </w:rPr>
          <w:t>від 06 червня 2022 року № 527</w:t>
        </w:r>
      </w:hyperlink>
      <w:r w:rsidRPr="00630627">
        <w:rPr>
          <w:rFonts w:ascii="Times New Roman" w:hAnsi="Times New Roman" w:cs="Times New Roman"/>
          <w:sz w:val="28"/>
          <w:szCs w:val="28"/>
          <w:lang w:val="uk-UA"/>
        </w:rPr>
        <w:t>, Указом Президента України від 12.06.2015 № 334/2015 «Про заходи щодо поліпшення національно-патріотичного виховання дітей та молоді», Обласної програми національно-патріотичного виховання дітей та молоді на 2021-2025 роки, затвердженої рішенням Полтавської обласної ради № 136 від 09.04.2021, з метою формування національно свідомої, активної, всебічно розвиненої, патріотично налаштованої української молоді, керуючись п. 22</w:t>
      </w:r>
      <w:r w:rsidRPr="00630627">
        <w:rPr>
          <w:rFonts w:ascii="Times New Roman" w:hAnsi="Times New Roman" w:cs="Times New Roman"/>
          <w:sz w:val="28"/>
          <w:szCs w:val="28"/>
        </w:rPr>
        <w:t> </w:t>
      </w:r>
      <w:r w:rsidRPr="00630627">
        <w:rPr>
          <w:rFonts w:ascii="Times New Roman" w:hAnsi="Times New Roman" w:cs="Times New Roman"/>
          <w:sz w:val="28"/>
          <w:szCs w:val="28"/>
          <w:lang w:val="uk-UA"/>
        </w:rPr>
        <w:t xml:space="preserve">ст. 26, ст. 32 Закону України «Про місцеве самоврядування в Україні», Кременчуцька міська рада Кременчуцького району Полтавської області </w:t>
      </w:r>
    </w:p>
    <w:p w:rsidR="00630627" w:rsidRPr="00630627" w:rsidRDefault="00630627" w:rsidP="0063062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0627" w:rsidRPr="00630627" w:rsidRDefault="00630627" w:rsidP="00630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62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30627" w:rsidRPr="00630627" w:rsidRDefault="00630627" w:rsidP="00630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627" w:rsidRPr="00630627" w:rsidRDefault="00630627" w:rsidP="006306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62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30627">
        <w:rPr>
          <w:rFonts w:ascii="Times New Roman" w:hAnsi="Times New Roman" w:cs="Times New Roman"/>
          <w:sz w:val="28"/>
          <w:szCs w:val="28"/>
        </w:rPr>
        <w:t> </w:t>
      </w:r>
      <w:r w:rsidRPr="00630627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Кременчуцької міської ради Кременчуцького району Полтавської області від 15 грудня 2023 року «Про затвердження Міської цільової програми з утвердження української національної та громадянської ідентичності на 2024-2026 роки у Кременчуцькій міській територіальній громаді», а саме:  </w:t>
      </w:r>
    </w:p>
    <w:p w:rsidR="00DE712E" w:rsidRPr="00DE712E" w:rsidRDefault="00DE712E" w:rsidP="00DE712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</w:t>
      </w:r>
      <w:r w:rsidRPr="00E53566">
        <w:rPr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Р</w:t>
      </w:r>
      <w:r w:rsidRPr="00455C1E">
        <w:rPr>
          <w:rFonts w:ascii="Times New Roman" w:eastAsia="Times New Roman" w:hAnsi="Times New Roman"/>
          <w:sz w:val="28"/>
          <w:szCs w:val="28"/>
          <w:lang w:eastAsia="ru-RU"/>
        </w:rPr>
        <w:t xml:space="preserve">озділі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«Паспорт програми», у </w:t>
      </w:r>
      <w:r w:rsidRPr="00455C1E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455C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455C1E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«Учасники програми» </w:t>
      </w:r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>виключити слова: «…Комунальний заклад культури «Кременчуцька міська централізована бібліотечна система для дітей…»;</w:t>
      </w:r>
    </w:p>
    <w:p w:rsidR="00DE712E" w:rsidRPr="00DE712E" w:rsidRDefault="00DE712E" w:rsidP="00DE712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DE712E">
        <w:rPr>
          <w:rFonts w:ascii="Times New Roman" w:hAnsi="Times New Roman"/>
          <w:sz w:val="28"/>
          <w:szCs w:val="28"/>
          <w:lang w:eastAsia="ru-RU"/>
        </w:rPr>
        <w:t> </w:t>
      </w:r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Розділі 4 «Напрям діяльності та заходи Міської цільової програми з утвердження національної та громадянської ідентичності на 2024-2026 року у Кременчуцькій міській територіальній громаді», підрозділ </w:t>
      </w:r>
      <w:r w:rsidRPr="00DE712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напрям </w:t>
      </w:r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діяльності - «Підвищення рівня знань про видатних особистостей українського державотворення та героїв боротьби українського народу за незалежність і територіальну цілісність України», у стовбці «Перелік заходів програми» номер два, три, чотири, у розділі «Виконавці» замість слів «…Комунальний заклад культури «Кременчуцька міська централізована бібліотечна система для      дітей…» читати «…Комунальний заклад культури «Кременчуцька міська публічна бібліотека…»; </w:t>
      </w:r>
    </w:p>
    <w:p w:rsidR="00DE712E" w:rsidRDefault="00DE712E" w:rsidP="00DE712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E712E">
        <w:rPr>
          <w:rFonts w:ascii="Times New Roman" w:hAnsi="Times New Roman"/>
          <w:sz w:val="28"/>
          <w:szCs w:val="28"/>
          <w:lang w:eastAsia="ru-RU"/>
        </w:rPr>
        <w:t> </w:t>
      </w:r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Розділі 4, підрозділ </w:t>
      </w:r>
      <w:r w:rsidRPr="00DE712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напрям діяльності - «Підвищення рівня знань про видатних особистостей українського державотворення та героїв боротьби українського народу за незалежність і територіальну цілісність України», в стовбці «Перелік заходів програми» замість «5. </w:t>
      </w:r>
      <w:proofErr w:type="spellStart"/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>Лонгитюдний</w:t>
      </w:r>
      <w:proofErr w:type="spellEnd"/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проєкт «27х7 (у вітрині ЦМДБ) читати «5. </w:t>
      </w:r>
      <w:proofErr w:type="spellStart"/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>Лонгитюдний</w:t>
      </w:r>
      <w:proofErr w:type="spellEnd"/>
      <w:r w:rsidRPr="00DE71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проєкт «24х7 (у вітрині Філія №3 КЗК «КМПБ»).</w:t>
      </w:r>
    </w:p>
    <w:p w:rsidR="00DE712E" w:rsidRDefault="00DE712E" w:rsidP="00DE712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Оприлюднити рішення відповідно до вимог законодавства. </w:t>
      </w:r>
    </w:p>
    <w:p w:rsidR="00DE712E" w:rsidRPr="00DE712E" w:rsidRDefault="00DE712E" w:rsidP="00DE712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Контроль за виконання рішення покласти на заступника міського 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Р.О. та постійну депутатську комісію з питань освіти, молоді, міжнародних відносин, культури, спорту, </w:t>
      </w:r>
      <w:proofErr w:type="spellStart"/>
      <w:r w:rsidR="00B30BE9">
        <w:rPr>
          <w:rFonts w:ascii="Times New Roman" w:eastAsia="Times New Roman" w:hAnsi="Times New Roman"/>
          <w:sz w:val="28"/>
          <w:szCs w:val="28"/>
          <w:lang w:eastAsia="ru-RU"/>
        </w:rPr>
        <w:t>ІТ-технологій</w:t>
      </w:r>
      <w:proofErr w:type="spellEnd"/>
      <w:r w:rsidR="00B30BE9">
        <w:rPr>
          <w:rFonts w:ascii="Times New Roman" w:eastAsia="Times New Roman" w:hAnsi="Times New Roman"/>
          <w:sz w:val="28"/>
          <w:szCs w:val="28"/>
          <w:lang w:eastAsia="ru-RU"/>
        </w:rPr>
        <w:t xml:space="preserve">, цифрової трансформації (голова комісії </w:t>
      </w:r>
      <w:proofErr w:type="spellStart"/>
      <w:r w:rsidR="00B30BE9">
        <w:rPr>
          <w:rFonts w:ascii="Times New Roman" w:eastAsia="Times New Roman" w:hAnsi="Times New Roman"/>
          <w:sz w:val="28"/>
          <w:szCs w:val="28"/>
          <w:lang w:eastAsia="ru-RU"/>
        </w:rPr>
        <w:t>Проценко</w:t>
      </w:r>
      <w:proofErr w:type="spellEnd"/>
      <w:r w:rsidR="00B30BE9">
        <w:rPr>
          <w:rFonts w:ascii="Times New Roman" w:eastAsia="Times New Roman" w:hAnsi="Times New Roman"/>
          <w:sz w:val="28"/>
          <w:szCs w:val="28"/>
          <w:lang w:eastAsia="ru-RU"/>
        </w:rPr>
        <w:t xml:space="preserve"> З.В.).</w:t>
      </w:r>
    </w:p>
    <w:p w:rsidR="00DE712E" w:rsidRDefault="00DE712E" w:rsidP="00DE712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712E" w:rsidRPr="00DE712E" w:rsidRDefault="00DE712E" w:rsidP="00DE712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712E" w:rsidRPr="00DE712E" w:rsidRDefault="00DE712E" w:rsidP="00DE71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12E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DE712E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proofErr w:type="gramStart"/>
      <w:r w:rsidRPr="00DE7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12E">
        <w:rPr>
          <w:rFonts w:ascii="Times New Roman" w:hAnsi="Times New Roman" w:cs="Times New Roman"/>
          <w:b/>
          <w:sz w:val="28"/>
          <w:szCs w:val="28"/>
        </w:rPr>
        <w:tab/>
      </w:r>
      <w:r w:rsidRPr="00DE712E">
        <w:rPr>
          <w:rFonts w:ascii="Times New Roman" w:hAnsi="Times New Roman" w:cs="Times New Roman"/>
          <w:b/>
          <w:sz w:val="28"/>
          <w:szCs w:val="28"/>
        </w:rPr>
        <w:tab/>
      </w:r>
      <w:r w:rsidRPr="00DE712E">
        <w:rPr>
          <w:rFonts w:ascii="Times New Roman" w:hAnsi="Times New Roman" w:cs="Times New Roman"/>
          <w:b/>
          <w:sz w:val="28"/>
          <w:szCs w:val="28"/>
        </w:rPr>
        <w:tab/>
      </w:r>
      <w:r w:rsidRPr="00DE712E">
        <w:rPr>
          <w:rFonts w:ascii="Times New Roman" w:hAnsi="Times New Roman" w:cs="Times New Roman"/>
          <w:b/>
          <w:sz w:val="28"/>
          <w:szCs w:val="28"/>
        </w:rPr>
        <w:tab/>
      </w:r>
      <w:r w:rsidRPr="00DE712E">
        <w:rPr>
          <w:rFonts w:ascii="Times New Roman" w:hAnsi="Times New Roman" w:cs="Times New Roman"/>
          <w:b/>
          <w:sz w:val="28"/>
          <w:szCs w:val="28"/>
        </w:rPr>
        <w:tab/>
      </w:r>
      <w:r w:rsidRPr="00DE712E">
        <w:rPr>
          <w:rFonts w:ascii="Times New Roman" w:hAnsi="Times New Roman" w:cs="Times New Roman"/>
          <w:b/>
          <w:sz w:val="28"/>
          <w:szCs w:val="28"/>
        </w:rPr>
        <w:tab/>
      </w:r>
      <w:r w:rsidRPr="00DE712E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 w:rsidRPr="00DE71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E712E">
        <w:rPr>
          <w:rFonts w:ascii="Times New Roman" w:hAnsi="Times New Roman" w:cs="Times New Roman"/>
          <w:b/>
          <w:sz w:val="28"/>
          <w:szCs w:val="28"/>
        </w:rPr>
        <w:t>італій</w:t>
      </w:r>
      <w:proofErr w:type="spellEnd"/>
      <w:r w:rsidRPr="00DE712E">
        <w:rPr>
          <w:rFonts w:ascii="Times New Roman" w:hAnsi="Times New Roman" w:cs="Times New Roman"/>
          <w:b/>
          <w:sz w:val="28"/>
          <w:szCs w:val="28"/>
        </w:rPr>
        <w:t xml:space="preserve"> МАЛЕЦЬКИЙ</w:t>
      </w:r>
    </w:p>
    <w:p w:rsidR="00DE712E" w:rsidRPr="00DE712E" w:rsidRDefault="00DE712E" w:rsidP="00DE712E">
      <w:pPr>
        <w:ind w:firstLine="567"/>
        <w:rPr>
          <w:rFonts w:ascii="Times New Roman" w:hAnsi="Times New Roman" w:cs="Times New Roman"/>
        </w:rPr>
      </w:pPr>
      <w:r w:rsidRPr="00DE712E">
        <w:rPr>
          <w:rFonts w:ascii="Times New Roman" w:hAnsi="Times New Roman" w:cs="Times New Roman"/>
        </w:rPr>
        <w:t xml:space="preserve"> </w:t>
      </w:r>
    </w:p>
    <w:p w:rsidR="00A7249B" w:rsidRPr="00630627" w:rsidRDefault="00A7249B" w:rsidP="0063062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249B" w:rsidRPr="00630627" w:rsidSect="0063062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627"/>
    <w:rsid w:val="00630627"/>
    <w:rsid w:val="00A7249B"/>
    <w:rsid w:val="00B30BE9"/>
    <w:rsid w:val="00DE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62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0627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HTML">
    <w:name w:val="HTML Preformatted"/>
    <w:basedOn w:val="a"/>
    <w:link w:val="HTML0"/>
    <w:uiPriority w:val="99"/>
    <w:rsid w:val="00630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062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E7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DE712E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a5">
    <w:name w:val="Абзац списка Знак"/>
    <w:link w:val="a4"/>
    <w:uiPriority w:val="34"/>
    <w:rsid w:val="00DE712E"/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zo.gov.ua/2022/06/08/nakaz-mon-vid-06-06-2022-527-pro-deiaki-pytannia-natsional-no-patriotychnoho-vykhovannia-v-zakladakh-osvity-ukrainy-ta-vyznannia-takym-shcho-vtratyv-chynnist-nakazu-ministerstva-osvity-i-nauky-ukrain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2024-03-05T07:01:00Z</dcterms:created>
  <dcterms:modified xsi:type="dcterms:W3CDTF">2024-03-05T07:12:00Z</dcterms:modified>
</cp:coreProperties>
</file>