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00E58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E5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00E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00E58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00E58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8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00E58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8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00E58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200E58">
        <w:rPr>
          <w:rFonts w:ascii="Times New Roman" w:hAnsi="Times New Roman" w:cs="Times New Roman"/>
          <w:b/>
          <w:sz w:val="28"/>
          <w:szCs w:val="28"/>
        </w:rPr>
        <w:t>Х</w:t>
      </w:r>
      <w:r w:rsidRPr="00200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00E58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00E58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00E58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00E58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00E58" w:rsidRDefault="009D5182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14</w:t>
      </w:r>
      <w:r w:rsidR="00733612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A73A6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33CF9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липня</w:t>
      </w:r>
      <w:r w:rsidR="008E20A8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00E58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00E58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00E58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A41A16" w:rsidRPr="00200E58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00E58" w:rsidRDefault="00D8319A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A41A16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ід 23 листопада 2021 року «Про</w:t>
      </w: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00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00E58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00E58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00E5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00E58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00E58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00E58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00E58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00E5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00E58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00E58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00E58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00E58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00E58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0E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00E58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00E58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00E58">
        <w:rPr>
          <w:rFonts w:ascii="Times New Roman" w:hAnsi="Times New Roman" w:cs="Times New Roman"/>
          <w:sz w:val="28"/>
          <w:szCs w:val="28"/>
        </w:rPr>
        <w:t>3</w:t>
      </w:r>
      <w:r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00E58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00E58">
        <w:rPr>
          <w:rFonts w:ascii="Times New Roman" w:hAnsi="Times New Roman" w:cs="Times New Roman"/>
          <w:sz w:val="28"/>
          <w:szCs w:val="28"/>
        </w:rPr>
        <w:t>1</w:t>
      </w:r>
      <w:r w:rsidRPr="00200E58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00E5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00E58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00E58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00E58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00E58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AD7B0A" w:rsidRPr="00200E58" w:rsidRDefault="006245B0" w:rsidP="00AD7B0A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0E58">
        <w:rPr>
          <w:rFonts w:ascii="Times New Roman" w:hAnsi="Times New Roman"/>
          <w:sz w:val="28"/>
          <w:szCs w:val="28"/>
          <w:lang w:val="uk-UA"/>
        </w:rPr>
        <w:t>Додаток 2 до Програми «</w:t>
      </w:r>
      <w:r w:rsidRPr="00200E58">
        <w:rPr>
          <w:rFonts w:ascii="Times New Roman" w:hAnsi="Times New Roman"/>
          <w:bCs/>
          <w:sz w:val="28"/>
          <w:szCs w:val="28"/>
          <w:lang w:val="uk-UA"/>
        </w:rPr>
        <w:t>Заходи з санітарного очищення міста Кременчука на 2023 рік»</w:t>
      </w:r>
      <w:r w:rsidR="00AD7B0A" w:rsidRPr="00200E58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(додається).</w:t>
      </w:r>
    </w:p>
    <w:p w:rsidR="00AD7B0A" w:rsidRPr="00200E58" w:rsidRDefault="006245B0" w:rsidP="00AD7B0A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0E58">
        <w:rPr>
          <w:rFonts w:ascii="Times New Roman" w:hAnsi="Times New Roman"/>
          <w:sz w:val="28"/>
          <w:szCs w:val="28"/>
          <w:lang w:val="uk-UA"/>
        </w:rPr>
        <w:t>Додаток 6 до Програми «</w:t>
      </w:r>
      <w:r w:rsidRPr="00200E58">
        <w:rPr>
          <w:rFonts w:ascii="Times New Roman" w:hAnsi="Times New Roman"/>
          <w:bCs/>
          <w:sz w:val="28"/>
          <w:szCs w:val="28"/>
          <w:lang w:val="uk-UA"/>
        </w:rPr>
        <w:t xml:space="preserve">Заходи з санітарного очищення </w:t>
      </w:r>
      <w:r w:rsidRPr="00200E58">
        <w:rPr>
          <w:rFonts w:ascii="Times New Roman" w:hAnsi="Times New Roman"/>
          <w:sz w:val="28"/>
          <w:szCs w:val="28"/>
          <w:lang w:val="uk-UA"/>
        </w:rPr>
        <w:t xml:space="preserve">Потоківського старостинського округу, до якого входять села Потоки, Соснівка, Придніпрянське і Мала Кохнівка </w:t>
      </w:r>
      <w:r w:rsidRPr="00200E58">
        <w:rPr>
          <w:rFonts w:ascii="Times New Roman" w:hAnsi="Times New Roman"/>
          <w:bCs/>
          <w:sz w:val="28"/>
          <w:szCs w:val="28"/>
          <w:lang w:val="uk-UA"/>
        </w:rPr>
        <w:t>на 2023 рік»</w:t>
      </w:r>
      <w:r w:rsidR="00AD7B0A" w:rsidRPr="00200E58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(додається).</w:t>
      </w:r>
    </w:p>
    <w:p w:rsidR="007F087C" w:rsidRPr="00200E58" w:rsidRDefault="007F087C" w:rsidP="007F087C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F087C" w:rsidRPr="00B30C11" w:rsidRDefault="007F087C" w:rsidP="00B30C11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A6E16" w:rsidRPr="00200E58" w:rsidRDefault="00933CF9" w:rsidP="00D62A3D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0E58">
        <w:rPr>
          <w:rFonts w:ascii="Times New Roman" w:hAnsi="Times New Roman"/>
          <w:sz w:val="28"/>
          <w:szCs w:val="28"/>
          <w:lang w:val="uk-UA"/>
        </w:rPr>
        <w:t>Додаток 10</w:t>
      </w:r>
      <w:r w:rsidR="003A6E16" w:rsidRPr="00200E58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6245B0" w:rsidRPr="00200E58">
        <w:rPr>
          <w:rFonts w:ascii="Times New Roman" w:hAnsi="Times New Roman"/>
          <w:sz w:val="28"/>
          <w:szCs w:val="28"/>
          <w:lang w:val="uk-UA"/>
        </w:rPr>
        <w:t xml:space="preserve"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</w:t>
      </w:r>
      <w:r w:rsidR="00D62A3D" w:rsidRPr="00200E5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245B0" w:rsidRPr="00200E58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D62A3D" w:rsidRPr="00200E5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245B0" w:rsidRPr="00200E58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D62A3D" w:rsidRPr="00200E5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245B0" w:rsidRPr="00200E58">
        <w:rPr>
          <w:rFonts w:ascii="Times New Roman" w:hAnsi="Times New Roman"/>
          <w:sz w:val="28"/>
          <w:szCs w:val="28"/>
          <w:lang w:val="uk-UA"/>
        </w:rPr>
        <w:t>ради</w:t>
      </w:r>
      <w:r w:rsidR="00200E58" w:rsidRPr="00200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5B0" w:rsidRPr="00200E58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 на 2023 рік</w:t>
      </w:r>
      <w:r w:rsidR="003A6E16" w:rsidRPr="00200E58">
        <w:rPr>
          <w:rFonts w:ascii="Times New Roman" w:hAnsi="Times New Roman"/>
          <w:bCs/>
          <w:sz w:val="28"/>
          <w:szCs w:val="28"/>
          <w:lang w:val="uk-UA"/>
        </w:rPr>
        <w:t>» викласти в новій редакції (дода</w:t>
      </w:r>
      <w:r w:rsidR="00B66DF1" w:rsidRPr="00200E58">
        <w:rPr>
          <w:rFonts w:ascii="Times New Roman" w:hAnsi="Times New Roman"/>
          <w:bCs/>
          <w:sz w:val="28"/>
          <w:szCs w:val="28"/>
          <w:lang w:val="uk-UA"/>
        </w:rPr>
        <w:t>є</w:t>
      </w:r>
      <w:r w:rsidR="003A6E16" w:rsidRPr="00200E58">
        <w:rPr>
          <w:rFonts w:ascii="Times New Roman" w:hAnsi="Times New Roman"/>
          <w:bCs/>
          <w:sz w:val="28"/>
          <w:szCs w:val="28"/>
          <w:lang w:val="uk-UA"/>
        </w:rPr>
        <w:t>ться).</w:t>
      </w:r>
    </w:p>
    <w:p w:rsidR="002A32B4" w:rsidRPr="00200E58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Pr="00200E58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 </w:t>
      </w:r>
      <w:r w:rsidRPr="00200E58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Pr="00200E5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Pr="00200E58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Pr="00200E58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Pr="00200E58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00E58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00E58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Pr="00200E58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Pr="00200E58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00E58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00E58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Pr="00200E5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00E58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00E58" w:rsidRDefault="008C109B" w:rsidP="008C109B"/>
    <w:p w:rsidR="008F6FF3" w:rsidRPr="00200E58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245B0" w:rsidRPr="00200E58" w:rsidRDefault="006245B0" w:rsidP="006245B0">
      <w:pPr>
        <w:rPr>
          <w:rFonts w:ascii="Times New Roman" w:hAnsi="Times New Roman" w:cs="Times New Roman"/>
          <w:sz w:val="28"/>
          <w:szCs w:val="28"/>
        </w:rPr>
      </w:pPr>
    </w:p>
    <w:p w:rsidR="00B90756" w:rsidRPr="00200E58" w:rsidRDefault="00B90756"/>
    <w:sectPr w:rsidR="00B90756" w:rsidRPr="00200E58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9D" w:rsidRDefault="001D5A9D" w:rsidP="008536A4">
      <w:r>
        <w:separator/>
      </w:r>
    </w:p>
  </w:endnote>
  <w:endnote w:type="continuationSeparator" w:id="0">
    <w:p w:rsidR="001D5A9D" w:rsidRDefault="001D5A9D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9D" w:rsidRDefault="001D5A9D" w:rsidP="008536A4">
      <w:r>
        <w:separator/>
      </w:r>
    </w:p>
  </w:footnote>
  <w:footnote w:type="continuationSeparator" w:id="0">
    <w:p w:rsidR="001D5A9D" w:rsidRDefault="001D5A9D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53C1"/>
    <w:rsid w:val="00011983"/>
    <w:rsid w:val="000142F6"/>
    <w:rsid w:val="00014B5D"/>
    <w:rsid w:val="00020104"/>
    <w:rsid w:val="000209B8"/>
    <w:rsid w:val="000262B7"/>
    <w:rsid w:val="00053370"/>
    <w:rsid w:val="0005514C"/>
    <w:rsid w:val="00065E56"/>
    <w:rsid w:val="00067833"/>
    <w:rsid w:val="00072C17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4208A"/>
    <w:rsid w:val="00144BB2"/>
    <w:rsid w:val="00144CF6"/>
    <w:rsid w:val="00147AAB"/>
    <w:rsid w:val="001512D6"/>
    <w:rsid w:val="0015260F"/>
    <w:rsid w:val="0015571B"/>
    <w:rsid w:val="00156515"/>
    <w:rsid w:val="00156E24"/>
    <w:rsid w:val="00180ECF"/>
    <w:rsid w:val="00184ECA"/>
    <w:rsid w:val="00187363"/>
    <w:rsid w:val="00192760"/>
    <w:rsid w:val="001B0956"/>
    <w:rsid w:val="001B57B8"/>
    <w:rsid w:val="001C27B0"/>
    <w:rsid w:val="001D5A9D"/>
    <w:rsid w:val="001E2E40"/>
    <w:rsid w:val="001E3FAC"/>
    <w:rsid w:val="001F73C1"/>
    <w:rsid w:val="00200E58"/>
    <w:rsid w:val="00203DA7"/>
    <w:rsid w:val="00217501"/>
    <w:rsid w:val="002324C3"/>
    <w:rsid w:val="00240F0E"/>
    <w:rsid w:val="00242369"/>
    <w:rsid w:val="0024558D"/>
    <w:rsid w:val="00250101"/>
    <w:rsid w:val="002505A9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B61F7"/>
    <w:rsid w:val="002C0447"/>
    <w:rsid w:val="002D27F3"/>
    <w:rsid w:val="002E0DCD"/>
    <w:rsid w:val="002E45BD"/>
    <w:rsid w:val="002F1931"/>
    <w:rsid w:val="002F5383"/>
    <w:rsid w:val="002F7044"/>
    <w:rsid w:val="00312DBF"/>
    <w:rsid w:val="00314CA1"/>
    <w:rsid w:val="00316C00"/>
    <w:rsid w:val="003240C1"/>
    <w:rsid w:val="003256DC"/>
    <w:rsid w:val="00340569"/>
    <w:rsid w:val="00342A78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41F8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58B6"/>
    <w:rsid w:val="004C69D8"/>
    <w:rsid w:val="004D6290"/>
    <w:rsid w:val="004E07C4"/>
    <w:rsid w:val="004E18AD"/>
    <w:rsid w:val="004E378F"/>
    <w:rsid w:val="004E7692"/>
    <w:rsid w:val="00505D2E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4A50"/>
    <w:rsid w:val="005B6522"/>
    <w:rsid w:val="005E60A7"/>
    <w:rsid w:val="005F008D"/>
    <w:rsid w:val="005F3665"/>
    <w:rsid w:val="005F5CFD"/>
    <w:rsid w:val="005F75B2"/>
    <w:rsid w:val="005F7717"/>
    <w:rsid w:val="00611418"/>
    <w:rsid w:val="00621AD1"/>
    <w:rsid w:val="0062219A"/>
    <w:rsid w:val="006245B0"/>
    <w:rsid w:val="00624F9D"/>
    <w:rsid w:val="006308FC"/>
    <w:rsid w:val="00634335"/>
    <w:rsid w:val="00643B28"/>
    <w:rsid w:val="00646B5B"/>
    <w:rsid w:val="006537FF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3612"/>
    <w:rsid w:val="007342D1"/>
    <w:rsid w:val="00736DE8"/>
    <w:rsid w:val="00740CB7"/>
    <w:rsid w:val="00743860"/>
    <w:rsid w:val="00747DF1"/>
    <w:rsid w:val="00751B77"/>
    <w:rsid w:val="00760918"/>
    <w:rsid w:val="00772727"/>
    <w:rsid w:val="00777877"/>
    <w:rsid w:val="007831D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D1889"/>
    <w:rsid w:val="007E0B91"/>
    <w:rsid w:val="007F087C"/>
    <w:rsid w:val="007F0F68"/>
    <w:rsid w:val="007F3590"/>
    <w:rsid w:val="007F7CE2"/>
    <w:rsid w:val="007F7DD5"/>
    <w:rsid w:val="00801701"/>
    <w:rsid w:val="00811580"/>
    <w:rsid w:val="0081600E"/>
    <w:rsid w:val="008160FB"/>
    <w:rsid w:val="0083142A"/>
    <w:rsid w:val="00831F3D"/>
    <w:rsid w:val="0083746B"/>
    <w:rsid w:val="008452F4"/>
    <w:rsid w:val="00847B4A"/>
    <w:rsid w:val="00847C23"/>
    <w:rsid w:val="008536A4"/>
    <w:rsid w:val="00854DED"/>
    <w:rsid w:val="0085613F"/>
    <w:rsid w:val="008621A4"/>
    <w:rsid w:val="008632C7"/>
    <w:rsid w:val="008648C4"/>
    <w:rsid w:val="008669DC"/>
    <w:rsid w:val="0088545F"/>
    <w:rsid w:val="00892B5B"/>
    <w:rsid w:val="008A1233"/>
    <w:rsid w:val="008B0B1A"/>
    <w:rsid w:val="008B4449"/>
    <w:rsid w:val="008B4E94"/>
    <w:rsid w:val="008C0FCF"/>
    <w:rsid w:val="008C109B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24F05"/>
    <w:rsid w:val="009312D7"/>
    <w:rsid w:val="00932469"/>
    <w:rsid w:val="0093257B"/>
    <w:rsid w:val="00933CF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55AEB"/>
    <w:rsid w:val="009662E0"/>
    <w:rsid w:val="00967C0A"/>
    <w:rsid w:val="009716BF"/>
    <w:rsid w:val="0097445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182"/>
    <w:rsid w:val="009D565B"/>
    <w:rsid w:val="009E023D"/>
    <w:rsid w:val="009E24A8"/>
    <w:rsid w:val="00A07C88"/>
    <w:rsid w:val="00A27344"/>
    <w:rsid w:val="00A4136B"/>
    <w:rsid w:val="00A41A16"/>
    <w:rsid w:val="00A41C83"/>
    <w:rsid w:val="00A478D3"/>
    <w:rsid w:val="00A50E6D"/>
    <w:rsid w:val="00A51CB1"/>
    <w:rsid w:val="00A73F2A"/>
    <w:rsid w:val="00A7402E"/>
    <w:rsid w:val="00A75B2F"/>
    <w:rsid w:val="00A84202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5609"/>
    <w:rsid w:val="00AD7B0A"/>
    <w:rsid w:val="00AF3C1C"/>
    <w:rsid w:val="00AF5CB6"/>
    <w:rsid w:val="00B00ECA"/>
    <w:rsid w:val="00B147F4"/>
    <w:rsid w:val="00B23DE2"/>
    <w:rsid w:val="00B27A3B"/>
    <w:rsid w:val="00B30C11"/>
    <w:rsid w:val="00B322A4"/>
    <w:rsid w:val="00B3664E"/>
    <w:rsid w:val="00B56308"/>
    <w:rsid w:val="00B569FD"/>
    <w:rsid w:val="00B66DF1"/>
    <w:rsid w:val="00B718E9"/>
    <w:rsid w:val="00B74C3B"/>
    <w:rsid w:val="00B81BD9"/>
    <w:rsid w:val="00B8510B"/>
    <w:rsid w:val="00B90756"/>
    <w:rsid w:val="00B9104F"/>
    <w:rsid w:val="00B913A2"/>
    <w:rsid w:val="00B9423A"/>
    <w:rsid w:val="00B9424F"/>
    <w:rsid w:val="00B9478E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D556F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1F54"/>
    <w:rsid w:val="00C526DE"/>
    <w:rsid w:val="00C54D3C"/>
    <w:rsid w:val="00C6103B"/>
    <w:rsid w:val="00C657A5"/>
    <w:rsid w:val="00C67A73"/>
    <w:rsid w:val="00C70888"/>
    <w:rsid w:val="00C81EB5"/>
    <w:rsid w:val="00C96DD8"/>
    <w:rsid w:val="00C97DD2"/>
    <w:rsid w:val="00CA3706"/>
    <w:rsid w:val="00CA3854"/>
    <w:rsid w:val="00CA3D4A"/>
    <w:rsid w:val="00CB28F0"/>
    <w:rsid w:val="00CB42AA"/>
    <w:rsid w:val="00CC0CC6"/>
    <w:rsid w:val="00CF6F6F"/>
    <w:rsid w:val="00D0213F"/>
    <w:rsid w:val="00D0328E"/>
    <w:rsid w:val="00D1196A"/>
    <w:rsid w:val="00D17F8E"/>
    <w:rsid w:val="00D241D0"/>
    <w:rsid w:val="00D268AB"/>
    <w:rsid w:val="00D42ACB"/>
    <w:rsid w:val="00D4617D"/>
    <w:rsid w:val="00D46A56"/>
    <w:rsid w:val="00D50007"/>
    <w:rsid w:val="00D53AA6"/>
    <w:rsid w:val="00D53BAC"/>
    <w:rsid w:val="00D60DEB"/>
    <w:rsid w:val="00D62A3D"/>
    <w:rsid w:val="00D82BE4"/>
    <w:rsid w:val="00D8319A"/>
    <w:rsid w:val="00DA1423"/>
    <w:rsid w:val="00DA1FEC"/>
    <w:rsid w:val="00DA2FA0"/>
    <w:rsid w:val="00DA55C2"/>
    <w:rsid w:val="00DA7440"/>
    <w:rsid w:val="00DD514E"/>
    <w:rsid w:val="00DE6538"/>
    <w:rsid w:val="00DF7EC7"/>
    <w:rsid w:val="00E007B6"/>
    <w:rsid w:val="00E013F9"/>
    <w:rsid w:val="00E04EB1"/>
    <w:rsid w:val="00E1110F"/>
    <w:rsid w:val="00E12C80"/>
    <w:rsid w:val="00E20196"/>
    <w:rsid w:val="00E22B97"/>
    <w:rsid w:val="00E24689"/>
    <w:rsid w:val="00E25907"/>
    <w:rsid w:val="00E26267"/>
    <w:rsid w:val="00E344C3"/>
    <w:rsid w:val="00E36BFF"/>
    <w:rsid w:val="00E41E82"/>
    <w:rsid w:val="00E47D44"/>
    <w:rsid w:val="00E50B9C"/>
    <w:rsid w:val="00E50E04"/>
    <w:rsid w:val="00E67811"/>
    <w:rsid w:val="00E700E7"/>
    <w:rsid w:val="00E710C4"/>
    <w:rsid w:val="00E75665"/>
    <w:rsid w:val="00E93880"/>
    <w:rsid w:val="00E957E9"/>
    <w:rsid w:val="00EA2009"/>
    <w:rsid w:val="00EB1330"/>
    <w:rsid w:val="00EB4E5D"/>
    <w:rsid w:val="00EB6FC3"/>
    <w:rsid w:val="00EC101D"/>
    <w:rsid w:val="00ED1379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302F"/>
    <w:rsid w:val="00F344FB"/>
    <w:rsid w:val="00F44281"/>
    <w:rsid w:val="00F4440A"/>
    <w:rsid w:val="00F44E9B"/>
    <w:rsid w:val="00F46838"/>
    <w:rsid w:val="00F527B4"/>
    <w:rsid w:val="00F57CAB"/>
    <w:rsid w:val="00F675E4"/>
    <w:rsid w:val="00F75EB7"/>
    <w:rsid w:val="00F76A31"/>
    <w:rsid w:val="00F87B35"/>
    <w:rsid w:val="00F966EA"/>
    <w:rsid w:val="00FA42CF"/>
    <w:rsid w:val="00FA4A08"/>
    <w:rsid w:val="00FA654C"/>
    <w:rsid w:val="00FB7CF4"/>
    <w:rsid w:val="00FC1066"/>
    <w:rsid w:val="00FC4078"/>
    <w:rsid w:val="00FC5DA1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3B32-070F-418F-9D06-CD14E12A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Плановый2</cp:lastModifiedBy>
  <cp:revision>212</cp:revision>
  <cp:lastPrinted>2023-06-07T05:25:00Z</cp:lastPrinted>
  <dcterms:created xsi:type="dcterms:W3CDTF">2021-07-21T12:26:00Z</dcterms:created>
  <dcterms:modified xsi:type="dcterms:W3CDTF">2023-07-17T05:52:00Z</dcterms:modified>
</cp:coreProperties>
</file>