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00" w:rsidRPr="005827C1" w:rsidRDefault="003F75BB">
      <w:pPr>
        <w:pBdr>
          <w:top w:val="nil"/>
          <w:left w:val="nil"/>
          <w:bottom w:val="nil"/>
          <w:right w:val="nil"/>
          <w:between w:val="nil"/>
        </w:pBdr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Додаток</w:t>
      </w:r>
    </w:p>
    <w:p w:rsidR="00644E00" w:rsidRPr="005827C1" w:rsidRDefault="003F75BB">
      <w:pPr>
        <w:pBdr>
          <w:top w:val="nil"/>
          <w:left w:val="nil"/>
          <w:bottom w:val="nil"/>
          <w:right w:val="nil"/>
          <w:between w:val="nil"/>
        </w:pBdr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рішення </w:t>
      </w:r>
      <w:r w:rsidR="001464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Кременчуцької </w:t>
      </w:r>
      <w:r w:rsidRPr="00582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міської ради</w:t>
      </w:r>
      <w:r w:rsidR="001464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Кременчуцького району Полтавської області</w:t>
      </w:r>
    </w:p>
    <w:p w:rsidR="00644E00" w:rsidRPr="005827C1" w:rsidRDefault="00045F8E">
      <w:pPr>
        <w:pBdr>
          <w:top w:val="nil"/>
          <w:left w:val="nil"/>
          <w:bottom w:val="nil"/>
          <w:right w:val="nil"/>
          <w:between w:val="nil"/>
        </w:pBdr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 листопада</w:t>
      </w:r>
      <w:r w:rsidR="00B866C7" w:rsidRPr="00582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2022</w:t>
      </w:r>
      <w:r w:rsidR="003F75BB" w:rsidRPr="00582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</w:p>
    <w:tbl>
      <w:tblPr>
        <w:tblStyle w:val="a5"/>
        <w:tblW w:w="98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55"/>
      </w:tblGrid>
      <w:tr w:rsidR="00644E00" w:rsidRPr="005827C1">
        <w:trPr>
          <w:trHeight w:val="360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644E00" w:rsidRPr="005827C1" w:rsidRDefault="00644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4E00" w:rsidRPr="005827C1" w:rsidRDefault="00644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ПЕРЕДАВАЛЬНИЙ АКТ</w:t>
            </w:r>
          </w:p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про передачу від комунального</w:t>
            </w:r>
            <w:r w:rsidR="00C565C5"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некомерційного</w:t>
            </w: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медичного </w:t>
            </w:r>
            <w:r w:rsidR="00C565C5"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підприємства </w:t>
            </w: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«Лікарня відновного лікування» до комунального некомерційного медичного підприємства «Лікарня </w:t>
            </w:r>
            <w:r w:rsidR="008E01F4"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інтенсивного лікування «Кременчуцька»</w:t>
            </w: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майна, майнових прав та інших обов’язків</w:t>
            </w:r>
          </w:p>
          <w:p w:rsidR="00644E00" w:rsidRPr="005827C1" w:rsidRDefault="00644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4E00" w:rsidRPr="005827C1" w:rsidRDefault="00644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м. Кременчук          </w:t>
            </w:r>
            <w:r w:rsidR="008E01F4"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</w:t>
            </w: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="008E01F4"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</w:t>
            </w: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45F8E"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 вересня 2022 року.</w:t>
            </w:r>
          </w:p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</w:t>
            </w:r>
          </w:p>
          <w:p w:rsidR="00644E00" w:rsidRPr="005827C1" w:rsidRDefault="00644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Комісія в складі:</w:t>
            </w:r>
          </w:p>
          <w:p w:rsidR="00644E00" w:rsidRPr="005827C1" w:rsidRDefault="00644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Голова комісії:</w:t>
            </w:r>
          </w:p>
          <w:p w:rsidR="00644E00" w:rsidRPr="005827C1" w:rsidRDefault="008E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Холодна Світлана Миколаївна</w:t>
            </w:r>
            <w:r w:rsidR="003F75BB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- </w:t>
            </w:r>
            <w:proofErr w:type="spellStart"/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в.о</w:t>
            </w:r>
            <w:proofErr w:type="spellEnd"/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директора</w:t>
            </w:r>
            <w:r w:rsidR="003F75BB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комунального</w:t>
            </w:r>
            <w:r w:rsidR="000D0CBD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некомерційного</w:t>
            </w:r>
            <w:r w:rsidR="003F75BB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медичного </w:t>
            </w:r>
            <w:r w:rsidR="00C565C5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підприємства</w:t>
            </w:r>
            <w:r w:rsidR="003F75BB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«Лікарня відновного лікування».</w:t>
            </w:r>
          </w:p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Заступник голови комісії:</w:t>
            </w:r>
          </w:p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8E01F4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Турченко</w:t>
            </w:r>
            <w:proofErr w:type="spellEnd"/>
            <w:r w:rsidR="008E01F4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Наталя Григорівна – завідувачка лікувально-діагностичного відділення</w:t>
            </w:r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комунального</w:t>
            </w:r>
            <w:r w:rsidR="000D0CBD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некомерційного</w:t>
            </w:r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медичного </w:t>
            </w:r>
            <w:r w:rsidR="00C565C5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підприємства</w:t>
            </w:r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«Лікарня відновного лікування».</w:t>
            </w:r>
          </w:p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Члени комісії:</w:t>
            </w:r>
          </w:p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Зунтова</w:t>
            </w:r>
            <w:proofErr w:type="spellEnd"/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Ніна Іванівна – заступник головного лікаря з економічних питань комунального </w:t>
            </w:r>
            <w:r w:rsidR="000D0CBD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некомерційного </w:t>
            </w:r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медичного </w:t>
            </w:r>
            <w:r w:rsidR="00C565C5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підприємства</w:t>
            </w:r>
            <w:r w:rsidR="008E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«Лікарня відновного лікування»;</w:t>
            </w:r>
          </w:p>
          <w:p w:rsid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</w:p>
          <w:p w:rsidR="00644E00" w:rsidRPr="005827C1" w:rsidRDefault="00582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 w:rsidR="008E01F4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Базишина</w:t>
            </w:r>
            <w:proofErr w:type="spellEnd"/>
            <w:r w:rsidR="008E01F4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Ірина Анатоліївна</w:t>
            </w:r>
            <w:r w:rsidR="003F75BB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головний бухгалтер </w:t>
            </w:r>
            <w:r w:rsidR="000D0CBD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Централізованої бухгалтерії Департаменту охорони здоров’я Кременчуцької міської ради Кременчуць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 району Полтавської області,</w:t>
            </w:r>
          </w:p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що діють на підставі рішення Кременчуцької міської ради Полтавської області від </w:t>
            </w:r>
            <w:r w:rsidR="000D0CBD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березня 2022</w:t>
            </w:r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року «Про </w:t>
            </w:r>
            <w:r w:rsidR="000D0CBD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прийняття рішення про припинення </w:t>
            </w:r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комунального</w:t>
            </w:r>
            <w:r w:rsidR="000D0CBD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некомерційного медичного підприємства </w:t>
            </w:r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«Лікарня відновного лікування»</w:t>
            </w:r>
            <w:r w:rsidR="000D0CBD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результаті приєднання до комунального некомерційного підприємства «Лікарня інтенсивного лікування «Кременчуцька»</w:t>
            </w:r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уклали та підписали цей передавальний акт про наступне:</w:t>
            </w:r>
          </w:p>
          <w:p w:rsidR="000535C0" w:rsidRPr="005827C1" w:rsidRDefault="000D0CBD" w:rsidP="00B11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Комісія з припинення</w:t>
            </w:r>
            <w:r w:rsidR="003F75BB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комунального</w:t>
            </w:r>
            <w:r w:rsidR="00C565C5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некомерційного</w:t>
            </w:r>
            <w:r w:rsidR="003F75BB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медичного </w:t>
            </w:r>
            <w:r w:rsidR="00C565C5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підприємства</w:t>
            </w:r>
            <w:r w:rsidR="003F75BB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«Лікарня відновного лікування» передає майно, майнові  права та інші обов’язки, які відображені за бухгалтерськими</w:t>
            </w:r>
            <w:r w:rsidR="00C565C5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рахунками,  які має комунальне некомерційне медичне підприємство</w:t>
            </w:r>
            <w:r w:rsidR="003F75BB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«Лікарня відновного лікування» станом на дату складання передавального акту, за наступн</w:t>
            </w:r>
            <w:r w:rsidR="00B11929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3F75BB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переліком:</w:t>
            </w:r>
            <w:r w:rsidR="0082746B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W w:w="949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8"/>
              <w:gridCol w:w="2409"/>
            </w:tblGrid>
            <w:tr w:rsidR="005827C1" w:rsidRPr="005827C1" w:rsidTr="005827C1">
              <w:trPr>
                <w:cantSplit/>
                <w:trHeight w:val="69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pStyle w:val="1"/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 w:rsidRPr="005827C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lastRenderedPageBreak/>
                    <w:br w:type="page"/>
                  </w:r>
                  <w:r w:rsidRPr="005827C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br w:type="page"/>
                  </w:r>
                  <w:r w:rsidRPr="005827C1">
                    <w:rPr>
                      <w:rFonts w:ascii="Times New Roman" w:hAnsi="Times New Roman" w:cs="Times New Roman"/>
                      <w:bCs/>
                      <w:szCs w:val="28"/>
                    </w:rPr>
                    <w:t>АКТИВ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 дату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передачі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(грн.)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pct30" w:color="auto" w:fill="FFFFFF"/>
                  <w:hideMark/>
                </w:tcPr>
                <w:p w:rsidR="005827C1" w:rsidRPr="005827C1" w:rsidRDefault="005827C1" w:rsidP="005827C1">
                  <w:pPr>
                    <w:pStyle w:val="4"/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І. НЕОБОРОТНІ АКТИВИ</w:t>
                  </w: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30" w:color="auto" w:fill="FFFFFF"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pStyle w:val="3"/>
                    <w:suppressLineNumbers/>
                    <w:suppressAutoHyphens/>
                    <w:rPr>
                      <w:rFonts w:ascii="Times New Roman" w:hAnsi="Times New Roman" w:cs="Times New Roman"/>
                      <w:b w:val="0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b w:val="0"/>
                      <w:lang w:val="ru-RU"/>
                    </w:rPr>
                    <w:t>Основні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b w:val="0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b w:val="0"/>
                      <w:lang w:val="ru-RU"/>
                    </w:rPr>
                    <w:t>засоби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b w:val="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Залишкова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вартість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427E6A" w:rsidP="00427E6A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6 627 247,73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Знос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427E6A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5 369 480,70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Первісна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вартість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427E6A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11 996 728,43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pStyle w:val="3"/>
                    <w:suppressLineNumbers/>
                    <w:suppressAutoHyphens/>
                    <w:ind w:right="-161"/>
                    <w:rPr>
                      <w:rFonts w:ascii="Times New Roman" w:hAnsi="Times New Roman" w:cs="Times New Roman"/>
                      <w:b w:val="0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b w:val="0"/>
                      <w:lang w:val="ru-RU"/>
                    </w:rPr>
                    <w:t>Інші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b w:val="0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b w:val="0"/>
                      <w:lang w:val="ru-RU"/>
                    </w:rPr>
                    <w:t>необоротні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b w:val="0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b w:val="0"/>
                      <w:lang w:val="ru-RU"/>
                    </w:rPr>
                    <w:t>матеріальні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b w:val="0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b w:val="0"/>
                      <w:lang w:val="ru-RU"/>
                    </w:rPr>
                    <w:t>активи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b w:val="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Залишкова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вартість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427E6A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864 388,72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Знос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427E6A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827 105,51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Первісна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вартість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427E6A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1 691 494,22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pct30" w:color="auto" w:fill="FFFFFF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ІІ. ОБОРОТНІ АКТИВИ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30" w:color="auto" w:fill="FFFFFF"/>
                  <w:vAlign w:val="center"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Матеріали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і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продукти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харчування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Малоцінні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швидкозношувані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предмети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ind w:right="-2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Інші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запаси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Дебіторська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заборгованість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Розрахунки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з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постачальниками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proofErr w:type="gram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</w:t>
                  </w:r>
                  <w:proofErr w:type="gram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ідрядниками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за 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товари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роботи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й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послуги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Розрахунки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із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податків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платежі</w:t>
                  </w:r>
                  <w:proofErr w:type="gram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</w:t>
                  </w:r>
                  <w:proofErr w:type="spellEnd"/>
                  <w:proofErr w:type="gram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Розрахунки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із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страхування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Розрахунки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з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відшкодування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завданих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збитків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427E6A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gram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</w:t>
                  </w:r>
                  <w:proofErr w:type="gram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казначействі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загального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фонду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gram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</w:t>
                  </w:r>
                  <w:proofErr w:type="gram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казначействі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спеціального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фонду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427E6A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спеціальні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реєстраційні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для </w:t>
                  </w:r>
                  <w:proofErr w:type="spellStart"/>
                  <w:proofErr w:type="gram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обл</w:t>
                  </w:r>
                  <w:proofErr w:type="gram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іку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коштів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отриманих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як  плата за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послуги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427E6A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спеціальні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реєстраційні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для </w:t>
                  </w:r>
                  <w:proofErr w:type="spellStart"/>
                  <w:proofErr w:type="gram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обл</w:t>
                  </w:r>
                  <w:proofErr w:type="gram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іку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коштів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отриманих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за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іншими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джерелами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власних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надходжень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427E6A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спеціальні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реєстраційні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для </w:t>
                  </w:r>
                  <w:proofErr w:type="spellStart"/>
                  <w:proofErr w:type="gram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обл</w:t>
                  </w:r>
                  <w:proofErr w:type="gram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іку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інших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надходжень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спеціального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фонду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32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ind w:right="-16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Інші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gram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</w:t>
                  </w:r>
                  <w:proofErr w:type="gram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казначействі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380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pct30" w:color="auto" w:fill="FFFFFF"/>
                  <w:hideMark/>
                </w:tcPr>
                <w:p w:rsidR="005827C1" w:rsidRPr="005827C1" w:rsidRDefault="005827C1" w:rsidP="005827C1">
                  <w:pPr>
                    <w:pStyle w:val="51"/>
                    <w:keepNext w:val="0"/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b/>
                      <w:sz w:val="28"/>
                      <w:szCs w:val="28"/>
                      <w:lang w:val="ru-RU"/>
                    </w:rPr>
                    <w:t>БАЛАНС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pct30" w:color="auto" w:fill="FFFFFF"/>
                  <w:vAlign w:val="center"/>
                  <w:hideMark/>
                </w:tcPr>
                <w:p w:rsidR="005827C1" w:rsidRPr="005827C1" w:rsidRDefault="00427E6A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7 491 636,45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pStyle w:val="1"/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b w:val="0"/>
                      <w:color w:val="000000"/>
                      <w:sz w:val="32"/>
                      <w:szCs w:val="20"/>
                    </w:rPr>
                    <w:br w:type="page"/>
                  </w:r>
                  <w:r w:rsidRPr="005827C1">
                    <w:rPr>
                      <w:rFonts w:ascii="Times New Roman" w:hAnsi="Times New Roman" w:cs="Times New Roman"/>
                      <w:sz w:val="20"/>
                      <w:lang w:val="ru-RU"/>
                    </w:rPr>
                    <w:t xml:space="preserve"> </w:t>
                  </w:r>
                  <w:r w:rsidRPr="005827C1">
                    <w:rPr>
                      <w:rFonts w:ascii="Times New Roman" w:hAnsi="Times New Roman" w:cs="Times New Roman"/>
                      <w:bCs/>
                      <w:szCs w:val="28"/>
                    </w:rPr>
                    <w:t>ПАСИВ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На дату </w:t>
                  </w:r>
                </w:p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b/>
                      <w:lang w:val="ru-RU"/>
                    </w:rPr>
                    <w:t>передачі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(грн.)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pct30" w:color="auto" w:fill="auto"/>
                  <w:hideMark/>
                </w:tcPr>
                <w:p w:rsidR="005827C1" w:rsidRPr="005827C1" w:rsidRDefault="005827C1" w:rsidP="005827C1">
                  <w:pPr>
                    <w:pStyle w:val="4"/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І. ВЛАСНИЙ КАПІТАЛ</w:t>
                  </w: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auto" w:fill="auto"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Внесений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капітал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9C1E3F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7 491 636,45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Капітал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у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дооцінках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pStyle w:val="11"/>
                    <w:suppressLineNumbers/>
                    <w:suppressAutoHyphens/>
                    <w:rPr>
                      <w:sz w:val="28"/>
                      <w:szCs w:val="28"/>
                      <w:lang w:val="uk-UA"/>
                    </w:rPr>
                  </w:pPr>
                  <w:r w:rsidRPr="005827C1">
                    <w:rPr>
                      <w:sz w:val="28"/>
                      <w:szCs w:val="28"/>
                      <w:lang w:val="uk-UA"/>
                    </w:rPr>
                    <w:t>Фінансовий результат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9C1E3F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pStyle w:val="11"/>
                    <w:suppressLineNumbers/>
                    <w:suppressAutoHyphens/>
                    <w:rPr>
                      <w:sz w:val="28"/>
                      <w:szCs w:val="28"/>
                      <w:lang w:val="uk-UA"/>
                    </w:rPr>
                  </w:pPr>
                  <w:r w:rsidRPr="005827C1">
                    <w:rPr>
                      <w:sz w:val="28"/>
                      <w:szCs w:val="28"/>
                      <w:lang w:val="uk-UA"/>
                    </w:rPr>
                    <w:t>Капітал у підприємствах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296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Резерви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296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proofErr w:type="gram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lastRenderedPageBreak/>
                    <w:t>Ц</w:t>
                  </w:r>
                  <w:proofErr w:type="gram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ільове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фінансування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pct30" w:color="auto" w:fill="auto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ІІ. ЗОБОВ’ЯЗАННЯ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30" w:color="auto" w:fill="auto"/>
                  <w:vAlign w:val="center"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Довгострокові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зобов’язання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322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Короткострокові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позики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pStyle w:val="11"/>
                    <w:suppressLineNumbers/>
                    <w:suppressAutoHyphens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5827C1">
                    <w:rPr>
                      <w:sz w:val="28"/>
                      <w:szCs w:val="28"/>
                      <w:lang w:val="uk-UA"/>
                    </w:rPr>
                    <w:t xml:space="preserve">Поточна заборгованість за довгостроковими зобов’язаннями 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Короткострокові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векселі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видан</w:t>
                  </w:r>
                  <w:proofErr w:type="gram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pStyle w:val="11"/>
                    <w:suppressLineNumbers/>
                    <w:suppressAutoHyphens/>
                    <w:rPr>
                      <w:sz w:val="28"/>
                      <w:szCs w:val="28"/>
                      <w:lang w:val="uk-UA"/>
                    </w:rPr>
                  </w:pPr>
                  <w:r w:rsidRPr="005827C1">
                    <w:rPr>
                      <w:sz w:val="28"/>
                      <w:szCs w:val="28"/>
                      <w:lang w:val="uk-UA"/>
                    </w:rPr>
                    <w:t>Кредиторська заборгованість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Розрахунки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з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постачальниками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proofErr w:type="gram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</w:t>
                  </w:r>
                  <w:proofErr w:type="gram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ідрядниками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за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товари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роботи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й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послуги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Розрахунки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за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спеціальними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видами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платежі</w:t>
                  </w:r>
                  <w:proofErr w:type="gram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</w:t>
                  </w:r>
                  <w:proofErr w:type="spellEnd"/>
                  <w:proofErr w:type="gram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Розрахунки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із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податків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платежі</w:t>
                  </w:r>
                  <w:proofErr w:type="gram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</w:t>
                  </w:r>
                  <w:proofErr w:type="spellEnd"/>
                  <w:proofErr w:type="gram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Розрахунки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із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страхування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Розрахунки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із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заробітної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плати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Розрахунки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стипендіатами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Розрахунки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з </w:t>
                  </w:r>
                  <w:proofErr w:type="spellStart"/>
                  <w:proofErr w:type="gram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</w:t>
                  </w:r>
                  <w:proofErr w:type="gram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ідзвітними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особами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Розрахунки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за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депозитними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сумами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Розрахунки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за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іншими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операціями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Розрахунки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за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операціями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з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внутрівідомчої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передачі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майна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Розрахунки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за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окремими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програмами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pct30" w:color="auto" w:fill="auto"/>
                  <w:hideMark/>
                </w:tcPr>
                <w:p w:rsidR="005827C1" w:rsidRPr="005827C1" w:rsidRDefault="005827C1" w:rsidP="005827C1">
                  <w:pPr>
                    <w:pStyle w:val="7"/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Cs w:val="28"/>
                      <w:lang w:val="ru-RU"/>
                    </w:rPr>
                    <w:t>ІІІ. ДОХОДИ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30" w:color="auto" w:fill="auto"/>
                  <w:vAlign w:val="center"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Доходи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загального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фонду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Доходи </w:t>
                  </w:r>
                  <w:proofErr w:type="spellStart"/>
                  <w:proofErr w:type="gram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спец</w:t>
                  </w:r>
                  <w:proofErr w:type="gram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іального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фонду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Доходи за коштами,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отриманими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як плата за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послуги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Доходи за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іншими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джерелами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власних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надходжень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359"/>
              </w:trPr>
              <w:tc>
                <w:tcPr>
                  <w:tcW w:w="7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Доходи за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іншими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надходженнями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спец</w:t>
                  </w:r>
                  <w:proofErr w:type="gram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іального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фонду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987"/>
              </w:trPr>
              <w:tc>
                <w:tcPr>
                  <w:tcW w:w="7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Доходи за коштами,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отриманими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на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виконання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програм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соц</w:t>
                  </w:r>
                  <w:proofErr w:type="gram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іально-економічного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та культурного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розвитку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регіонів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482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pct30" w:color="auto" w:fill="auto"/>
                  <w:hideMark/>
                </w:tcPr>
                <w:p w:rsidR="005827C1" w:rsidRPr="005827C1" w:rsidRDefault="005827C1" w:rsidP="005827C1">
                  <w:pPr>
                    <w:pStyle w:val="4"/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БАЛАНС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pct30" w:color="auto" w:fill="auto"/>
                  <w:vAlign w:val="center"/>
                  <w:hideMark/>
                </w:tcPr>
                <w:p w:rsidR="005827C1" w:rsidRPr="005827C1" w:rsidRDefault="009C1E3F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7 491 636,45</w:t>
                  </w:r>
                </w:p>
              </w:tc>
            </w:tr>
          </w:tbl>
          <w:p w:rsidR="005827C1" w:rsidRPr="005827C1" w:rsidRDefault="005827C1" w:rsidP="005827C1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827C1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</w:t>
            </w:r>
            <w:r w:rsidRPr="005827C1">
              <w:rPr>
                <w:rFonts w:ascii="Times New Roman" w:hAnsi="Times New Roman" w:cs="Times New Roman"/>
                <w:sz w:val="16"/>
                <w:lang w:val="ru-RU"/>
              </w:rPr>
              <w:t xml:space="preserve">     </w:t>
            </w:r>
            <w:r w:rsidRPr="005827C1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tbl>
            <w:tblPr>
              <w:tblW w:w="949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8"/>
              <w:gridCol w:w="2409"/>
            </w:tblGrid>
            <w:tr w:rsidR="005827C1" w:rsidRPr="005827C1" w:rsidTr="005827C1">
              <w:trPr>
                <w:cantSplit/>
                <w:trHeight w:val="179"/>
              </w:trPr>
              <w:tc>
                <w:tcPr>
                  <w:tcW w:w="94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auto" w:fill="auto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b/>
                      <w:szCs w:val="28"/>
                      <w:lang w:val="ru-RU"/>
                    </w:rPr>
                    <w:t xml:space="preserve">РАХУНКИ ПОЗАБАЛАНСОВОГО </w:t>
                  </w:r>
                  <w:proofErr w:type="gramStart"/>
                  <w:r w:rsidRPr="005827C1">
                    <w:rPr>
                      <w:rFonts w:ascii="Times New Roman" w:hAnsi="Times New Roman" w:cs="Times New Roman"/>
                      <w:b/>
                      <w:szCs w:val="28"/>
                      <w:lang w:val="ru-RU"/>
                    </w:rPr>
                    <w:t>ОБЛ</w:t>
                  </w:r>
                  <w:proofErr w:type="gramEnd"/>
                  <w:r w:rsidRPr="005827C1">
                    <w:rPr>
                      <w:rFonts w:ascii="Times New Roman" w:hAnsi="Times New Roman" w:cs="Times New Roman"/>
                      <w:b/>
                      <w:szCs w:val="28"/>
                      <w:lang w:val="ru-RU"/>
                    </w:rPr>
                    <w:t>ІКУ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Орендовані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необоротні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активи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Активи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на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відповідальному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зберіганні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9C1E3F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Непередбачені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активи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і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зобов’язання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Гарантії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забезпечення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proofErr w:type="gram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Передан</w:t>
                  </w:r>
                  <w:proofErr w:type="gram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(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видані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)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активи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відповідно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до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законодавства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proofErr w:type="gram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Списан</w:t>
                  </w:r>
                  <w:proofErr w:type="gram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активи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зобов’язання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: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списана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дебіторська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заборгованість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невідшкодовані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нестачі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і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втрати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від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псування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цінностей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5827C1" w:rsidRPr="005827C1" w:rsidTr="005827C1">
              <w:trPr>
                <w:cantSplit/>
                <w:trHeight w:val="179"/>
              </w:trPr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Бланки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документів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суворої</w:t>
                  </w:r>
                  <w:proofErr w:type="spellEnd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звітності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7C1" w:rsidRPr="005827C1" w:rsidRDefault="005827C1" w:rsidP="005827C1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827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</w:tbl>
          <w:p w:rsidR="005827C1" w:rsidRPr="005827C1" w:rsidRDefault="005827C1" w:rsidP="0005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7C1" w:rsidRDefault="005827C1" w:rsidP="0076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827C1" w:rsidRDefault="005827C1" w:rsidP="0076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44E00" w:rsidRPr="005827C1" w:rsidRDefault="005827C1" w:rsidP="0076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         </w:t>
            </w:r>
            <w:r w:rsidR="003F75BB"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 акту приймання передачі додається:</w:t>
            </w:r>
          </w:p>
          <w:p w:rsidR="00644E00" w:rsidRPr="005827C1" w:rsidRDefault="003F75BB" w:rsidP="000F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Додаток до передавального акту про передачу від комунального некомерційного медичного підприємства «Лікарня відновного лікування» до комунального некомерційного </w:t>
            </w:r>
            <w:r w:rsidR="007655B4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медичного підприємства «Л</w:t>
            </w:r>
            <w:r w:rsidR="000F7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ікарня інтенсивного лікування «</w:t>
            </w:r>
            <w:r w:rsidR="007655B4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Кременчуцька</w:t>
            </w:r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майна,  майнових прав та інших обов’язків на </w:t>
            </w:r>
            <w:r w:rsidR="007655B4"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4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8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аркушах.</w:t>
            </w:r>
          </w:p>
          <w:p w:rsidR="00644E00" w:rsidRPr="005827C1" w:rsidRDefault="00644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4E00" w:rsidRPr="005827C1" w:rsidRDefault="00644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E00" w:rsidRPr="005827C1">
        <w:trPr>
          <w:trHeight w:val="360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Голова комісії:</w:t>
            </w: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 xml:space="preserve">    </w:t>
            </w: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 xml:space="preserve">              </w:t>
            </w:r>
            <w:r w:rsidR="007655B4"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Світлана ХОЛОДНА</w:t>
            </w:r>
          </w:p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</w:t>
            </w:r>
          </w:p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Заступник голови комісії:                 </w:t>
            </w:r>
            <w:r w:rsidR="007655B4"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Наталя ТУРЧЕНКО</w:t>
            </w:r>
          </w:p>
          <w:p w:rsidR="00644E00" w:rsidRPr="005827C1" w:rsidRDefault="00644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Члени комісії:                                                                      Н</w:t>
            </w:r>
            <w:r w:rsidR="007655B4"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іна </w:t>
            </w: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</w:t>
            </w:r>
            <w:r w:rsidR="007655B4"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УНТОВА</w:t>
            </w: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</w:p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</w:t>
            </w:r>
          </w:p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7655B4"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Ірина БАЗИШИНА</w:t>
            </w:r>
          </w:p>
          <w:p w:rsidR="00644E00" w:rsidRPr="005827C1" w:rsidRDefault="00644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644E00" w:rsidRPr="005827C1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</w:tbl>
    <w:p w:rsidR="00644E00" w:rsidRPr="005827C1" w:rsidRDefault="00644E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44E00" w:rsidRPr="005827C1" w:rsidSect="000F780C">
      <w:headerReference w:type="even" r:id="rId9"/>
      <w:pgSz w:w="11907" w:h="16840"/>
      <w:pgMar w:top="993" w:right="567" w:bottom="28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C8" w:rsidRDefault="00FE67C8">
      <w:r>
        <w:separator/>
      </w:r>
    </w:p>
  </w:endnote>
  <w:endnote w:type="continuationSeparator" w:id="0">
    <w:p w:rsidR="00FE67C8" w:rsidRDefault="00FE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C8" w:rsidRDefault="00FE67C8">
      <w:r>
        <w:separator/>
      </w:r>
    </w:p>
  </w:footnote>
  <w:footnote w:type="continuationSeparator" w:id="0">
    <w:p w:rsidR="00FE67C8" w:rsidRDefault="00FE6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00" w:rsidRDefault="003F75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644E00" w:rsidRDefault="00644E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77ECA"/>
    <w:multiLevelType w:val="multilevel"/>
    <w:tmpl w:val="BC2C80EC"/>
    <w:lvl w:ilvl="0">
      <w:start w:val="2"/>
      <w:numFmt w:val="bullet"/>
      <w:lvlText w:val="-"/>
      <w:lvlJc w:val="left"/>
      <w:pPr>
        <w:ind w:left="110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6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00"/>
    <w:rsid w:val="00045F8E"/>
    <w:rsid w:val="000535C0"/>
    <w:rsid w:val="000D0CBD"/>
    <w:rsid w:val="000F780C"/>
    <w:rsid w:val="0011052A"/>
    <w:rsid w:val="00113B13"/>
    <w:rsid w:val="00146466"/>
    <w:rsid w:val="002F1A53"/>
    <w:rsid w:val="003F75BB"/>
    <w:rsid w:val="00427E6A"/>
    <w:rsid w:val="00566FE3"/>
    <w:rsid w:val="005827C1"/>
    <w:rsid w:val="00644E00"/>
    <w:rsid w:val="00686876"/>
    <w:rsid w:val="00716EA8"/>
    <w:rsid w:val="007655B4"/>
    <w:rsid w:val="0082746B"/>
    <w:rsid w:val="008316DA"/>
    <w:rsid w:val="008C5B29"/>
    <w:rsid w:val="008E01F4"/>
    <w:rsid w:val="008E1823"/>
    <w:rsid w:val="00930EFB"/>
    <w:rsid w:val="00997B48"/>
    <w:rsid w:val="009C1E3F"/>
    <w:rsid w:val="00B11929"/>
    <w:rsid w:val="00B4503B"/>
    <w:rsid w:val="00B866C7"/>
    <w:rsid w:val="00C565C5"/>
    <w:rsid w:val="00ED6D67"/>
    <w:rsid w:val="00F11237"/>
    <w:rsid w:val="00F4042C"/>
    <w:rsid w:val="00F72B8D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nhideWhenUsed/>
    <w:qFormat/>
    <w:rsid w:val="000535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535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0535C0"/>
    <w:rPr>
      <w:b/>
      <w:sz w:val="48"/>
      <w:szCs w:val="48"/>
    </w:rPr>
  </w:style>
  <w:style w:type="character" w:customStyle="1" w:styleId="30">
    <w:name w:val="Заголовок 3 Знак"/>
    <w:basedOn w:val="a0"/>
    <w:link w:val="3"/>
    <w:rsid w:val="000535C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0535C0"/>
    <w:rPr>
      <w:b/>
      <w:sz w:val="24"/>
      <w:szCs w:val="24"/>
    </w:rPr>
  </w:style>
  <w:style w:type="paragraph" w:customStyle="1" w:styleId="11">
    <w:name w:val="Обычный1"/>
    <w:rsid w:val="000535C0"/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51">
    <w:name w:val="заголовок 51"/>
    <w:basedOn w:val="11"/>
    <w:next w:val="11"/>
    <w:rsid w:val="000535C0"/>
    <w:pPr>
      <w:keepNext/>
    </w:pPr>
    <w:rPr>
      <w:sz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274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4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nhideWhenUsed/>
    <w:qFormat/>
    <w:rsid w:val="000535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535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0535C0"/>
    <w:rPr>
      <w:b/>
      <w:sz w:val="48"/>
      <w:szCs w:val="48"/>
    </w:rPr>
  </w:style>
  <w:style w:type="character" w:customStyle="1" w:styleId="30">
    <w:name w:val="Заголовок 3 Знак"/>
    <w:basedOn w:val="a0"/>
    <w:link w:val="3"/>
    <w:rsid w:val="000535C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0535C0"/>
    <w:rPr>
      <w:b/>
      <w:sz w:val="24"/>
      <w:szCs w:val="24"/>
    </w:rPr>
  </w:style>
  <w:style w:type="paragraph" w:customStyle="1" w:styleId="11">
    <w:name w:val="Обычный1"/>
    <w:rsid w:val="000535C0"/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51">
    <w:name w:val="заголовок 51"/>
    <w:basedOn w:val="11"/>
    <w:next w:val="11"/>
    <w:rsid w:val="000535C0"/>
    <w:pPr>
      <w:keepNext/>
    </w:pPr>
    <w:rPr>
      <w:sz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274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EBFE-5144-4BB6-A41C-44B377BB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2022-11-07T09:33:00Z</cp:lastPrinted>
  <dcterms:created xsi:type="dcterms:W3CDTF">2022-11-04T10:04:00Z</dcterms:created>
  <dcterms:modified xsi:type="dcterms:W3CDTF">2022-11-08T07:31:00Z</dcterms:modified>
</cp:coreProperties>
</file>