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FC" w:rsidRPr="001F3AEB" w:rsidRDefault="00D52AFC" w:rsidP="00D52AFC">
      <w:pPr>
        <w:tabs>
          <w:tab w:val="left" w:pos="426"/>
        </w:tabs>
        <w:ind w:left="5954"/>
        <w:rPr>
          <w:b/>
        </w:rPr>
      </w:pPr>
      <w:r>
        <w:rPr>
          <w:b/>
        </w:rPr>
        <w:t>Додаток 1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  <w:r w:rsidRPr="001F3AEB">
        <w:rPr>
          <w:b/>
        </w:rPr>
        <w:t xml:space="preserve">до рішення </w:t>
      </w:r>
      <w:r>
        <w:rPr>
          <w:b/>
        </w:rPr>
        <w:t xml:space="preserve">Кременчуцької </w:t>
      </w:r>
      <w:r w:rsidRPr="001F3AEB">
        <w:rPr>
          <w:b/>
        </w:rPr>
        <w:t>міської ради</w:t>
      </w:r>
      <w:r>
        <w:rPr>
          <w:b/>
        </w:rPr>
        <w:t xml:space="preserve"> Кременчуцького району </w:t>
      </w:r>
      <w:r w:rsidR="009057D4">
        <w:rPr>
          <w:b/>
        </w:rPr>
        <w:br/>
        <w:t>Полтавської області</w:t>
      </w:r>
    </w:p>
    <w:p w:rsidR="00954E4F" w:rsidRDefault="00AF08AB" w:rsidP="00D52AFC">
      <w:pPr>
        <w:tabs>
          <w:tab w:val="left" w:pos="426"/>
        </w:tabs>
        <w:ind w:left="5954"/>
        <w:rPr>
          <w:b/>
        </w:rPr>
      </w:pPr>
      <w:bookmarkStart w:id="0" w:name="_GoBack"/>
      <w:bookmarkEnd w:id="0"/>
      <w:r>
        <w:rPr>
          <w:b/>
        </w:rPr>
        <w:t xml:space="preserve">23 вересня </w:t>
      </w:r>
      <w:r w:rsidR="00D52AFC">
        <w:rPr>
          <w:b/>
        </w:rPr>
        <w:t>202</w:t>
      </w:r>
      <w:r w:rsidR="00B72889">
        <w:rPr>
          <w:b/>
        </w:rPr>
        <w:t>2</w:t>
      </w:r>
      <w:r w:rsidR="00D52AFC">
        <w:rPr>
          <w:b/>
        </w:rPr>
        <w:t xml:space="preserve"> року</w:t>
      </w:r>
    </w:p>
    <w:p w:rsidR="00D52AFC" w:rsidRDefault="00D52AFC" w:rsidP="00D52AFC">
      <w:pPr>
        <w:tabs>
          <w:tab w:val="left" w:pos="426"/>
        </w:tabs>
        <w:ind w:left="5954"/>
        <w:rPr>
          <w:b/>
        </w:rPr>
      </w:pPr>
    </w:p>
    <w:p w:rsidR="00CC17B9" w:rsidRPr="0092220D" w:rsidRDefault="00CC17B9" w:rsidP="00CC17B9">
      <w:pPr>
        <w:ind w:firstLine="567"/>
        <w:jc w:val="both"/>
        <w:rPr>
          <w:b/>
          <w:color w:val="000000"/>
          <w:szCs w:val="28"/>
        </w:rPr>
      </w:pPr>
      <w:r w:rsidRPr="0092220D">
        <w:rPr>
          <w:b/>
          <w:szCs w:val="28"/>
        </w:rPr>
        <w:t xml:space="preserve">7.2. </w:t>
      </w:r>
      <w:r w:rsidRPr="0092220D">
        <w:rPr>
          <w:b/>
          <w:color w:val="000000"/>
          <w:szCs w:val="28"/>
        </w:rPr>
        <w:t xml:space="preserve">Забезпечення продуктовими наборами членів сімей загиблих (померлих) учасників АТО, ООС, </w:t>
      </w:r>
      <w:r w:rsidRPr="0092220D">
        <w:rPr>
          <w:b/>
          <w:szCs w:val="28"/>
        </w:rPr>
        <w:t>членів сімей загиблих, які брали безпосередню участь у бойових діях та загинули під час воєнного стану у</w:t>
      </w:r>
      <w:r w:rsidR="00A576E5">
        <w:rPr>
          <w:b/>
          <w:szCs w:val="28"/>
        </w:rPr>
        <w:t xml:space="preserve"> зв’язку з військовою агресією російської ф</w:t>
      </w:r>
      <w:r w:rsidRPr="0092220D">
        <w:rPr>
          <w:b/>
          <w:szCs w:val="28"/>
        </w:rPr>
        <w:t xml:space="preserve">едерації проти України та </w:t>
      </w:r>
      <w:r w:rsidRPr="0092220D">
        <w:rPr>
          <w:b/>
          <w:color w:val="000000"/>
          <w:szCs w:val="28"/>
        </w:rPr>
        <w:t>членів сімей загиблих на території Республіки Афганістан</w:t>
      </w:r>
    </w:p>
    <w:p w:rsidR="00CC17B9" w:rsidRDefault="00CC17B9" w:rsidP="00CC17B9">
      <w:pPr>
        <w:jc w:val="both"/>
        <w:rPr>
          <w:b/>
          <w:szCs w:val="28"/>
        </w:rPr>
      </w:pPr>
    </w:p>
    <w:p w:rsidR="00CC17B9" w:rsidRPr="0092220D" w:rsidRDefault="00CC17B9" w:rsidP="00CC17B9">
      <w:pPr>
        <w:jc w:val="both"/>
        <w:rPr>
          <w:b/>
          <w:color w:val="000000"/>
          <w:szCs w:val="28"/>
        </w:rPr>
      </w:pPr>
      <w:r w:rsidRPr="0092220D">
        <w:rPr>
          <w:b/>
          <w:szCs w:val="28"/>
        </w:rPr>
        <w:t xml:space="preserve">Цільова група: </w:t>
      </w:r>
      <w:r w:rsidRPr="0092220D">
        <w:rPr>
          <w:szCs w:val="28"/>
        </w:rPr>
        <w:t>члени сімей загиблих (померлих) учасників АТО, ООС, члени сімей загиблих, які брали безпосередню участь у бойових діях та загинули під час воєнного стану у</w:t>
      </w:r>
      <w:r w:rsidR="00A576E5">
        <w:rPr>
          <w:szCs w:val="28"/>
        </w:rPr>
        <w:t xml:space="preserve"> зв’язку з військовою агресією російської ф</w:t>
      </w:r>
      <w:r w:rsidRPr="0092220D">
        <w:rPr>
          <w:szCs w:val="28"/>
        </w:rPr>
        <w:t>едерації проти України та члени сімей загиблих на території Республіки Афганістан.</w:t>
      </w:r>
      <w:r w:rsidRPr="0092220D">
        <w:rPr>
          <w:b/>
          <w:color w:val="000000"/>
          <w:szCs w:val="28"/>
        </w:rPr>
        <w:t xml:space="preserve"> 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>Строк виконання:</w:t>
      </w:r>
      <w:r w:rsidRPr="0092220D">
        <w:rPr>
          <w:szCs w:val="28"/>
        </w:rPr>
        <w:t xml:space="preserve"> 2021–2023 роки.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>Головний розпорядник коштів:</w:t>
      </w:r>
      <w:r w:rsidRPr="0092220D">
        <w:rPr>
          <w:szCs w:val="28"/>
        </w:rPr>
        <w:t xml:space="preserve"> Департамент соціального захисту населення Кременчуцької міської ради Кременчуцького району Полтавської області.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>Відповідальні виконавці:</w:t>
      </w:r>
      <w:r w:rsidRPr="0092220D">
        <w:t xml:space="preserve"> </w:t>
      </w:r>
      <w:r w:rsidRPr="0092220D">
        <w:rPr>
          <w:szCs w:val="28"/>
        </w:rPr>
        <w:t>Департамент соціального захисту населення Кременчуцької міської ради Кременчуцького району Полтавської області</w:t>
      </w:r>
      <w:r w:rsidRPr="0092220D">
        <w:rPr>
          <w:color w:val="000000"/>
          <w:szCs w:val="28"/>
        </w:rPr>
        <w:t>, управління соціального захисту населення Автозаводського та Крюківського районів, тер</w:t>
      </w:r>
      <w:r w:rsidR="00F81B58">
        <w:rPr>
          <w:color w:val="000000"/>
          <w:szCs w:val="28"/>
        </w:rPr>
        <w:t xml:space="preserve">иторіальні центри соціального обслуговування (надання соціальних послуг)  Автозаводського та Крюківського районів Департаменту соціального захисту населення Кременчуцької міської ради Кременчуцького району Полтавської області, Автозаводська та </w:t>
      </w:r>
      <w:proofErr w:type="spellStart"/>
      <w:r w:rsidR="00F81B58">
        <w:rPr>
          <w:color w:val="000000"/>
          <w:szCs w:val="28"/>
        </w:rPr>
        <w:t>Крюківська</w:t>
      </w:r>
      <w:proofErr w:type="spellEnd"/>
      <w:r w:rsidR="00F81B58">
        <w:rPr>
          <w:color w:val="000000"/>
          <w:szCs w:val="28"/>
        </w:rPr>
        <w:t xml:space="preserve"> </w:t>
      </w:r>
      <w:r w:rsidRPr="0092220D">
        <w:rPr>
          <w:color w:val="000000"/>
          <w:szCs w:val="28"/>
        </w:rPr>
        <w:t>районн</w:t>
      </w:r>
      <w:r w:rsidR="00F81B58">
        <w:rPr>
          <w:color w:val="000000"/>
          <w:szCs w:val="28"/>
        </w:rPr>
        <w:t>і адміністрації</w:t>
      </w:r>
      <w:r w:rsidRPr="0092220D">
        <w:rPr>
          <w:color w:val="000000"/>
          <w:szCs w:val="28"/>
        </w:rPr>
        <w:t xml:space="preserve"> Кременчуцької міської ради</w:t>
      </w:r>
      <w:r w:rsidRPr="0092220D">
        <w:rPr>
          <w:szCs w:val="28"/>
        </w:rPr>
        <w:t xml:space="preserve"> Кременчуцького району Полтавської області.</w:t>
      </w:r>
    </w:p>
    <w:p w:rsidR="00CC17B9" w:rsidRPr="0092220D" w:rsidRDefault="00CC17B9" w:rsidP="00CC17B9">
      <w:pPr>
        <w:jc w:val="both"/>
        <w:rPr>
          <w:b/>
          <w:szCs w:val="28"/>
        </w:rPr>
      </w:pPr>
      <w:r w:rsidRPr="0092220D">
        <w:rPr>
          <w:b/>
          <w:szCs w:val="28"/>
        </w:rPr>
        <w:t>Мета:</w:t>
      </w:r>
      <w:r w:rsidRPr="0092220D">
        <w:rPr>
          <w:color w:val="800000"/>
          <w:szCs w:val="28"/>
        </w:rPr>
        <w:t xml:space="preserve"> </w:t>
      </w:r>
      <w:r w:rsidRPr="0092220D">
        <w:rPr>
          <w:szCs w:val="28"/>
        </w:rPr>
        <w:t>надання додаткових гарантій, підвищення соціального захисту членів сімей загиблих (померлих) учасників АТО, ООС, членів сімей загиблих на території Республіки Афганістан та</w:t>
      </w:r>
      <w:r w:rsidRPr="0092220D">
        <w:rPr>
          <w:b/>
          <w:szCs w:val="28"/>
        </w:rPr>
        <w:t xml:space="preserve"> </w:t>
      </w:r>
      <w:r w:rsidRPr="0092220D">
        <w:rPr>
          <w:szCs w:val="28"/>
        </w:rPr>
        <w:t>членів сімей загиблих, які брали безпосередню участь у бойових діях та загинули під час воєнного стану у</w:t>
      </w:r>
      <w:r w:rsidR="00A576E5">
        <w:rPr>
          <w:szCs w:val="28"/>
        </w:rPr>
        <w:t xml:space="preserve"> зв’язку з військовою агресією російської ф</w:t>
      </w:r>
      <w:r w:rsidRPr="0092220D">
        <w:rPr>
          <w:szCs w:val="28"/>
        </w:rPr>
        <w:t>едерації проти України.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 xml:space="preserve">Стислий опис реалізації: </w:t>
      </w:r>
      <w:r w:rsidRPr="0092220D">
        <w:rPr>
          <w:szCs w:val="28"/>
        </w:rPr>
        <w:t xml:space="preserve">двічі на рік – до Дня Перемоги над нацизмом у Другій світовій війні та до Дня заснування міста Кременчука видаються продуктові набори членам сімей загиблих (померлих) учасників АТО, ООС, членам сімей загиблих, які брали безпосередню участь у бойових діях та загинули під час воєнного стану у зв’язку з військовою агресією </w:t>
      </w:r>
      <w:r w:rsidR="00A576E5">
        <w:rPr>
          <w:szCs w:val="28"/>
        </w:rPr>
        <w:t>російської ф</w:t>
      </w:r>
      <w:r w:rsidRPr="0092220D">
        <w:rPr>
          <w:szCs w:val="28"/>
        </w:rPr>
        <w:t>едерації проти України та членам сімей загиблих на території Республіки Афганістан.</w:t>
      </w:r>
    </w:p>
    <w:p w:rsidR="00CC17B9" w:rsidRPr="0092220D" w:rsidRDefault="00CC17B9" w:rsidP="00CC17B9">
      <w:pPr>
        <w:jc w:val="both"/>
        <w:rPr>
          <w:szCs w:val="28"/>
        </w:rPr>
      </w:pPr>
      <w:r w:rsidRPr="0092220D">
        <w:rPr>
          <w:b/>
          <w:szCs w:val="28"/>
        </w:rPr>
        <w:t xml:space="preserve">Очікувані результати (якісні і кількісні показники): </w:t>
      </w:r>
      <w:r w:rsidRPr="0092220D">
        <w:rPr>
          <w:szCs w:val="28"/>
        </w:rPr>
        <w:t xml:space="preserve"> члени сімей загиблих (померлих) учасників АТО, ООС, члени сімей загиблих на території Республіки Афганістан та  члени сімей загиблих, які брали безпосередню участь у бойових діях та загинули під час воєнного стану у зв’язку з військовою агресією </w:t>
      </w:r>
      <w:r w:rsidR="00A576E5">
        <w:rPr>
          <w:szCs w:val="28"/>
        </w:rPr>
        <w:t>російської ф</w:t>
      </w:r>
      <w:r w:rsidRPr="0092220D">
        <w:rPr>
          <w:szCs w:val="28"/>
        </w:rPr>
        <w:t xml:space="preserve">едерації проти України двічі на рік отримають святкові набори </w:t>
      </w:r>
      <w:r w:rsidRPr="0092220D">
        <w:rPr>
          <w:szCs w:val="28"/>
        </w:rPr>
        <w:lastRenderedPageBreak/>
        <w:t xml:space="preserve">вартістю. </w:t>
      </w:r>
      <w:r w:rsidR="00C72261">
        <w:rPr>
          <w:szCs w:val="28"/>
        </w:rPr>
        <w:t>У</w:t>
      </w:r>
      <w:r w:rsidRPr="0092220D">
        <w:rPr>
          <w:szCs w:val="28"/>
        </w:rPr>
        <w:t xml:space="preserve"> результаті підвищується їх прожитковий рівень, надаються додаткові матеріальні блага.</w:t>
      </w:r>
    </w:p>
    <w:p w:rsidR="00CC17B9" w:rsidRPr="0092220D" w:rsidRDefault="00CC17B9" w:rsidP="00CC17B9">
      <w:pPr>
        <w:jc w:val="both"/>
        <w:rPr>
          <w:szCs w:val="28"/>
        </w:rPr>
      </w:pPr>
    </w:p>
    <w:p w:rsidR="00CC17B9" w:rsidRPr="0092220D" w:rsidRDefault="00CC17B9" w:rsidP="00CC17B9">
      <w:pPr>
        <w:ind w:firstLine="709"/>
        <w:jc w:val="both"/>
        <w:rPr>
          <w:sz w:val="12"/>
          <w:szCs w:val="12"/>
        </w:rPr>
      </w:pPr>
    </w:p>
    <w:tbl>
      <w:tblPr>
        <w:tblW w:w="97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63"/>
        <w:gridCol w:w="1560"/>
        <w:gridCol w:w="1483"/>
        <w:gridCol w:w="1559"/>
        <w:gridCol w:w="13"/>
      </w:tblGrid>
      <w:tr w:rsidR="00CC17B9" w:rsidRPr="00CC17B9" w:rsidTr="00CB6CCA">
        <w:trPr>
          <w:trHeight w:val="26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ind w:left="-247"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№</w:t>
            </w:r>
          </w:p>
          <w:p w:rsidR="00CC17B9" w:rsidRPr="00CC17B9" w:rsidRDefault="00CC17B9" w:rsidP="00296E3B">
            <w:pPr>
              <w:spacing w:before="100" w:beforeAutospacing="1"/>
              <w:ind w:left="-247"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 xml:space="preserve"> з/п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Статті витрат</w:t>
            </w:r>
          </w:p>
        </w:tc>
        <w:tc>
          <w:tcPr>
            <w:tcW w:w="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sz w:val="24"/>
              </w:rPr>
              <w:t>Необхідне фінансування, грн</w:t>
            </w:r>
          </w:p>
        </w:tc>
      </w:tr>
      <w:tr w:rsidR="00CC17B9" w:rsidRPr="00CC17B9" w:rsidTr="00CB6CCA">
        <w:trPr>
          <w:gridAfter w:val="1"/>
          <w:wAfter w:w="13" w:type="dxa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7B9" w:rsidRPr="00CC17B9" w:rsidRDefault="00CC17B9" w:rsidP="00296E3B">
            <w:pPr>
              <w:ind w:right="-108"/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>2021 рік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7B9" w:rsidRPr="00CC17B9" w:rsidRDefault="00CC17B9" w:rsidP="00296E3B">
            <w:pPr>
              <w:ind w:right="-284"/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>2022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ind w:right="-284"/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>2023 рік</w:t>
            </w:r>
          </w:p>
        </w:tc>
      </w:tr>
      <w:tr w:rsidR="00CC17B9" w:rsidRPr="00CC17B9" w:rsidTr="00CB6CCA">
        <w:trPr>
          <w:gridAfter w:val="1"/>
          <w:wAfter w:w="13" w:type="dxa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CC17B9" w:rsidP="00296E3B">
            <w:pPr>
              <w:ind w:right="-284"/>
              <w:rPr>
                <w:b/>
                <w:color w:val="000000"/>
                <w:sz w:val="24"/>
                <w:lang w:eastAsia="ar-SA"/>
              </w:rPr>
            </w:pP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9" w:rsidRPr="00CC17B9" w:rsidRDefault="00CC17B9" w:rsidP="00296E3B">
            <w:pPr>
              <w:spacing w:before="100" w:beforeAutospacing="1"/>
              <w:ind w:right="-284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Загальне фінансування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7B9" w:rsidRPr="00CC17B9" w:rsidRDefault="00CC17B9" w:rsidP="00296E3B">
            <w:pPr>
              <w:spacing w:before="100" w:beforeAutospacing="1"/>
              <w:jc w:val="center"/>
              <w:rPr>
                <w:b/>
                <w:color w:val="000000"/>
                <w:sz w:val="24"/>
              </w:rPr>
            </w:pPr>
            <w:r w:rsidRPr="00CC17B9">
              <w:rPr>
                <w:b/>
                <w:color w:val="000000"/>
                <w:sz w:val="24"/>
              </w:rPr>
              <w:t>40 050,00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7B9" w:rsidRPr="00CC17B9" w:rsidRDefault="0096023F" w:rsidP="0096023F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69 075</w:t>
            </w:r>
            <w:r w:rsidR="00CC17B9" w:rsidRPr="00CC17B9">
              <w:rPr>
                <w:b/>
                <w:color w:val="000000"/>
                <w:sz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7B9" w:rsidRPr="00CC17B9" w:rsidRDefault="00075BBD" w:rsidP="00075BBD">
            <w:pPr>
              <w:spacing w:before="100" w:beforeAutospacing="1"/>
              <w:ind w:right="-284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153 500</w:t>
            </w:r>
            <w:r w:rsidR="00CC17B9" w:rsidRPr="00CC17B9">
              <w:rPr>
                <w:b/>
                <w:color w:val="000000"/>
                <w:sz w:val="24"/>
              </w:rPr>
              <w:t>,00</w:t>
            </w:r>
          </w:p>
        </w:tc>
      </w:tr>
      <w:tr w:rsidR="00CC17B9" w:rsidRPr="00CC17B9" w:rsidTr="00CB6CCA">
        <w:trPr>
          <w:gridAfter w:val="1"/>
          <w:wAfter w:w="13" w:type="dxa"/>
          <w:trHeight w:val="274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7B9" w:rsidRPr="00CC17B9" w:rsidRDefault="00CC17B9" w:rsidP="00296E3B">
            <w:pPr>
              <w:spacing w:before="100" w:beforeAutospacing="1" w:after="100" w:afterAutospacing="1"/>
              <w:ind w:right="-284" w:hanging="247"/>
              <w:jc w:val="center"/>
              <w:rPr>
                <w:color w:val="000000"/>
                <w:sz w:val="24"/>
              </w:rPr>
            </w:pPr>
            <w:r w:rsidRPr="00CC17B9">
              <w:rPr>
                <w:color w:val="000000"/>
                <w:sz w:val="24"/>
              </w:rPr>
              <w:t>1.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B9" w:rsidRPr="00CC17B9" w:rsidRDefault="00CC17B9" w:rsidP="00296E3B">
            <w:pPr>
              <w:ind w:right="-108"/>
              <w:rPr>
                <w:color w:val="000000"/>
                <w:sz w:val="24"/>
              </w:rPr>
            </w:pPr>
            <w:r w:rsidRPr="00CC17B9">
              <w:rPr>
                <w:color w:val="000000"/>
                <w:sz w:val="24"/>
              </w:rPr>
              <w:t xml:space="preserve">Забезпечення продуктовими наборами членів сімей загиблих (померлих) учасників АТО, ООС, </w:t>
            </w:r>
            <w:r w:rsidRPr="00CC17B9">
              <w:rPr>
                <w:sz w:val="24"/>
              </w:rPr>
              <w:t>членів сімей загиблих, які брали безпосередню участь у бойових діях та загинули під час воєнного стану у</w:t>
            </w:r>
            <w:r w:rsidR="00A576E5">
              <w:rPr>
                <w:sz w:val="24"/>
              </w:rPr>
              <w:t xml:space="preserve"> зв’язку з військовою агресією російської ф</w:t>
            </w:r>
            <w:r w:rsidRPr="00CC17B9">
              <w:rPr>
                <w:sz w:val="24"/>
              </w:rPr>
              <w:t>едерації проти України та</w:t>
            </w:r>
            <w:r w:rsidRPr="00CC17B9">
              <w:rPr>
                <w:color w:val="000000"/>
                <w:sz w:val="24"/>
              </w:rPr>
              <w:t xml:space="preserve"> членів сімей загиблих на території Республіки Афганістан та  – двічі на рік</w:t>
            </w:r>
          </w:p>
          <w:p w:rsidR="00CC17B9" w:rsidRPr="00CC17B9" w:rsidRDefault="00CC17B9" w:rsidP="00296E3B">
            <w:pPr>
              <w:ind w:right="-108"/>
              <w:rPr>
                <w:sz w:val="24"/>
              </w:rPr>
            </w:pPr>
          </w:p>
          <w:p w:rsidR="00CC17B9" w:rsidRDefault="00CC17B9" w:rsidP="00296E3B">
            <w:pPr>
              <w:ind w:right="-108"/>
              <w:rPr>
                <w:sz w:val="24"/>
              </w:rPr>
            </w:pPr>
          </w:p>
          <w:p w:rsidR="00CB6CCA" w:rsidRDefault="00CB6CCA" w:rsidP="00296E3B">
            <w:pPr>
              <w:ind w:right="-108"/>
              <w:rPr>
                <w:sz w:val="24"/>
              </w:rPr>
            </w:pPr>
          </w:p>
          <w:p w:rsidR="00CB6CCA" w:rsidRPr="00CC17B9" w:rsidRDefault="00CB6CCA" w:rsidP="00296E3B">
            <w:pPr>
              <w:ind w:right="-108"/>
              <w:rPr>
                <w:sz w:val="24"/>
              </w:rPr>
            </w:pPr>
          </w:p>
          <w:p w:rsidR="00CC17B9" w:rsidRPr="00CC17B9" w:rsidRDefault="00CC17B9" w:rsidP="00296E3B">
            <w:pPr>
              <w:ind w:right="-108"/>
              <w:rPr>
                <w:sz w:val="24"/>
              </w:rPr>
            </w:pPr>
            <w:r w:rsidRPr="00CC17B9">
              <w:rPr>
                <w:sz w:val="24"/>
              </w:rPr>
              <w:t>Витрати на поліетиленові пакети</w:t>
            </w:r>
          </w:p>
          <w:p w:rsidR="00CC17B9" w:rsidRPr="00CC17B9" w:rsidRDefault="00CC17B9" w:rsidP="00296E3B">
            <w:pPr>
              <w:ind w:right="-108"/>
              <w:rPr>
                <w:sz w:val="24"/>
              </w:rPr>
            </w:pPr>
          </w:p>
          <w:p w:rsidR="00CC17B9" w:rsidRPr="00CC17B9" w:rsidRDefault="00CC17B9" w:rsidP="00296E3B">
            <w:pPr>
              <w:ind w:right="-108"/>
              <w:rPr>
                <w:sz w:val="24"/>
              </w:rPr>
            </w:pPr>
          </w:p>
          <w:p w:rsidR="00CC17B9" w:rsidRPr="00CC17B9" w:rsidRDefault="00CC17B9" w:rsidP="00296E3B">
            <w:pPr>
              <w:ind w:right="-108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7B9" w:rsidRPr="00CC17B9" w:rsidRDefault="00CC17B9" w:rsidP="00296E3B">
            <w:pPr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 xml:space="preserve"> 39 000,00:</w:t>
            </w: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  <w:r w:rsidRPr="00CC17B9">
              <w:rPr>
                <w:sz w:val="24"/>
              </w:rPr>
              <w:t xml:space="preserve"> 75 </w:t>
            </w:r>
            <w:proofErr w:type="spellStart"/>
            <w:r w:rsidRPr="00CC17B9">
              <w:rPr>
                <w:sz w:val="24"/>
              </w:rPr>
              <w:t>чол</w:t>
            </w:r>
            <w:proofErr w:type="spellEnd"/>
            <w:r w:rsidRPr="00CC17B9">
              <w:rPr>
                <w:sz w:val="24"/>
              </w:rPr>
              <w:t>. ×</w:t>
            </w:r>
          </w:p>
          <w:p w:rsidR="00CC17B9" w:rsidRPr="00CC17B9" w:rsidRDefault="00CC17B9" w:rsidP="00296E3B">
            <w:pPr>
              <w:ind w:left="-142" w:right="-144"/>
              <w:jc w:val="center"/>
              <w:rPr>
                <w:sz w:val="24"/>
              </w:rPr>
            </w:pPr>
            <w:r w:rsidRPr="00CC17B9">
              <w:rPr>
                <w:sz w:val="24"/>
              </w:rPr>
              <w:t>260,00 грн ×</w:t>
            </w: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  <w:r w:rsidRPr="00CC17B9">
              <w:rPr>
                <w:sz w:val="24"/>
              </w:rPr>
              <w:t>2</w:t>
            </w:r>
          </w:p>
          <w:p w:rsidR="00CC17B9" w:rsidRPr="00CC17B9" w:rsidRDefault="00CC17B9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CC17B9" w:rsidRPr="00CC17B9" w:rsidRDefault="00CC17B9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CC17B9" w:rsidRPr="00CC17B9" w:rsidRDefault="00CC17B9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CC17B9" w:rsidRPr="00CC17B9" w:rsidRDefault="00CC17B9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833BDD" w:rsidRDefault="00833BDD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833BDD" w:rsidRDefault="00833BDD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CB6CCA" w:rsidRDefault="00CB6CCA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CB6CCA" w:rsidRDefault="00CB6CCA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</w:p>
          <w:p w:rsidR="00CC17B9" w:rsidRDefault="00CC17B9" w:rsidP="00296E3B">
            <w:pPr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CC17B9">
              <w:rPr>
                <w:b/>
                <w:bCs/>
                <w:color w:val="000000"/>
                <w:sz w:val="24"/>
              </w:rPr>
              <w:t>1 050,00:</w:t>
            </w:r>
          </w:p>
          <w:p w:rsidR="00CC17B9" w:rsidRPr="00CC17B9" w:rsidRDefault="00CC17B9" w:rsidP="003248FE">
            <w:pPr>
              <w:ind w:right="-249"/>
              <w:rPr>
                <w:b/>
                <w:sz w:val="24"/>
              </w:rPr>
            </w:pPr>
          </w:p>
          <w:p w:rsidR="00CC17B9" w:rsidRPr="003248FE" w:rsidRDefault="00CC17B9" w:rsidP="00296E3B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 xml:space="preserve">75 </w:t>
            </w:r>
            <w:proofErr w:type="spellStart"/>
            <w:r w:rsidRPr="003248FE">
              <w:rPr>
                <w:sz w:val="24"/>
              </w:rPr>
              <w:t>чол</w:t>
            </w:r>
            <w:proofErr w:type="spellEnd"/>
            <w:r w:rsidRPr="003248FE">
              <w:rPr>
                <w:sz w:val="24"/>
              </w:rPr>
              <w:t>. х</w:t>
            </w: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>7,00 грн</w:t>
            </w:r>
            <w:r w:rsidRPr="00CC17B9">
              <w:rPr>
                <w:sz w:val="24"/>
              </w:rPr>
              <w:t xml:space="preserve"> х 2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C17B9" w:rsidRPr="00CC17B9" w:rsidRDefault="0096023F" w:rsidP="00296E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67 500</w:t>
            </w:r>
            <w:r w:rsidR="00CC17B9" w:rsidRPr="00CC17B9">
              <w:rPr>
                <w:b/>
                <w:sz w:val="24"/>
              </w:rPr>
              <w:t>,00:</w:t>
            </w: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</w:p>
          <w:p w:rsidR="00CC17B9" w:rsidRPr="00CC17B9" w:rsidRDefault="00CB6CCA" w:rsidP="00296E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 w:rsidR="006620B9">
              <w:rPr>
                <w:sz w:val="24"/>
              </w:rPr>
              <w:t xml:space="preserve"> </w:t>
            </w:r>
            <w:proofErr w:type="spellStart"/>
            <w:r w:rsidR="00CC17B9" w:rsidRPr="00CC17B9">
              <w:rPr>
                <w:sz w:val="24"/>
              </w:rPr>
              <w:t>чол</w:t>
            </w:r>
            <w:proofErr w:type="spellEnd"/>
            <w:r w:rsidR="00CC17B9" w:rsidRPr="00CC17B9">
              <w:rPr>
                <w:sz w:val="24"/>
              </w:rPr>
              <w:t>. ×</w:t>
            </w:r>
          </w:p>
          <w:p w:rsidR="00CC17B9" w:rsidRDefault="00B654A1" w:rsidP="00E702A9">
            <w:pPr>
              <w:ind w:left="-80" w:right="-14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 w:rsidR="00CC17B9" w:rsidRPr="00CC17B9">
              <w:rPr>
                <w:sz w:val="24"/>
              </w:rPr>
              <w:t>,00 грн ×</w:t>
            </w:r>
            <w:r w:rsidR="00E702A9">
              <w:rPr>
                <w:sz w:val="24"/>
              </w:rPr>
              <w:t>1</w:t>
            </w:r>
            <w:r w:rsidR="00CB6CCA">
              <w:rPr>
                <w:sz w:val="24"/>
              </w:rPr>
              <w:t>(до Дня Перемоги)</w:t>
            </w:r>
          </w:p>
          <w:p w:rsidR="00CB6CCA" w:rsidRDefault="00CB6CCA" w:rsidP="00E702A9">
            <w:pPr>
              <w:ind w:left="-80" w:right="-144"/>
              <w:jc w:val="center"/>
              <w:rPr>
                <w:sz w:val="24"/>
              </w:rPr>
            </w:pPr>
          </w:p>
          <w:p w:rsidR="00CB6CCA" w:rsidRPr="00CC17B9" w:rsidRDefault="00CB6CCA" w:rsidP="00CB6C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145 </w:t>
            </w:r>
            <w:proofErr w:type="spellStart"/>
            <w:r w:rsidRPr="00CC17B9">
              <w:rPr>
                <w:sz w:val="24"/>
              </w:rPr>
              <w:t>чол</w:t>
            </w:r>
            <w:proofErr w:type="spellEnd"/>
            <w:r w:rsidRPr="00CC17B9">
              <w:rPr>
                <w:sz w:val="24"/>
              </w:rPr>
              <w:t>. ×</w:t>
            </w:r>
          </w:p>
          <w:p w:rsidR="00CB6CCA" w:rsidRDefault="00CB6CCA" w:rsidP="00CB6CCA">
            <w:pPr>
              <w:ind w:left="-80" w:right="-14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  <w:r w:rsidRPr="00CC17B9">
              <w:rPr>
                <w:sz w:val="24"/>
              </w:rPr>
              <w:t>,00 грн ×</w:t>
            </w:r>
            <w:r>
              <w:rPr>
                <w:sz w:val="24"/>
              </w:rPr>
              <w:t>1(до Дня заснування міста)</w:t>
            </w:r>
          </w:p>
          <w:p w:rsidR="00833BDD" w:rsidRDefault="00833BDD" w:rsidP="00CB6CCA">
            <w:pPr>
              <w:ind w:right="-249"/>
              <w:rPr>
                <w:b/>
                <w:sz w:val="24"/>
              </w:rPr>
            </w:pPr>
          </w:p>
          <w:p w:rsidR="00CC17B9" w:rsidRPr="00CC17B9" w:rsidRDefault="00CC17B9" w:rsidP="00296E3B">
            <w:pPr>
              <w:ind w:left="-101" w:right="-249"/>
              <w:jc w:val="center"/>
              <w:rPr>
                <w:b/>
                <w:sz w:val="24"/>
              </w:rPr>
            </w:pPr>
            <w:r w:rsidRPr="00CC17B9">
              <w:rPr>
                <w:b/>
                <w:sz w:val="24"/>
              </w:rPr>
              <w:t xml:space="preserve">1 </w:t>
            </w:r>
            <w:r w:rsidR="0096023F">
              <w:rPr>
                <w:b/>
                <w:sz w:val="24"/>
              </w:rPr>
              <w:t>575</w:t>
            </w:r>
            <w:r w:rsidRPr="00CC17B9">
              <w:rPr>
                <w:b/>
                <w:sz w:val="24"/>
              </w:rPr>
              <w:t>,00:</w:t>
            </w: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</w:p>
          <w:p w:rsidR="00CC17B9" w:rsidRPr="003248FE" w:rsidRDefault="00CB6CCA" w:rsidP="00296E3B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>80</w:t>
            </w:r>
            <w:r w:rsidR="006620B9" w:rsidRPr="003248FE">
              <w:rPr>
                <w:sz w:val="24"/>
              </w:rPr>
              <w:t xml:space="preserve"> </w:t>
            </w:r>
            <w:proofErr w:type="spellStart"/>
            <w:r w:rsidR="00CC17B9" w:rsidRPr="003248FE">
              <w:rPr>
                <w:sz w:val="24"/>
              </w:rPr>
              <w:t>чол</w:t>
            </w:r>
            <w:proofErr w:type="spellEnd"/>
            <w:r w:rsidR="00CC17B9" w:rsidRPr="003248FE">
              <w:rPr>
                <w:sz w:val="24"/>
              </w:rPr>
              <w:t>. х</w:t>
            </w:r>
          </w:p>
          <w:p w:rsidR="00E702A9" w:rsidRPr="003248FE" w:rsidRDefault="00CC17B9" w:rsidP="006620B9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>7,00 грн</w:t>
            </w:r>
            <w:r w:rsidR="00E702A9" w:rsidRPr="003248FE">
              <w:rPr>
                <w:sz w:val="24"/>
              </w:rPr>
              <w:t xml:space="preserve"> х 1</w:t>
            </w:r>
          </w:p>
          <w:p w:rsidR="00CB6CCA" w:rsidRPr="003248FE" w:rsidRDefault="00CB6CCA" w:rsidP="006620B9">
            <w:pPr>
              <w:ind w:left="-101" w:right="-249"/>
              <w:jc w:val="center"/>
              <w:rPr>
                <w:sz w:val="24"/>
              </w:rPr>
            </w:pPr>
          </w:p>
          <w:p w:rsidR="00CB6CCA" w:rsidRPr="003248FE" w:rsidRDefault="00CB6CCA" w:rsidP="00CB6CCA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 xml:space="preserve">145 </w:t>
            </w:r>
            <w:proofErr w:type="spellStart"/>
            <w:r w:rsidRPr="003248FE">
              <w:rPr>
                <w:sz w:val="24"/>
              </w:rPr>
              <w:t>чол</w:t>
            </w:r>
            <w:proofErr w:type="spellEnd"/>
            <w:r w:rsidRPr="003248FE">
              <w:rPr>
                <w:sz w:val="24"/>
              </w:rPr>
              <w:t>. х</w:t>
            </w:r>
          </w:p>
          <w:p w:rsidR="00CB6CCA" w:rsidRPr="003248FE" w:rsidRDefault="00CB6CCA" w:rsidP="00CB6CCA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>7,00 грн х 1</w:t>
            </w:r>
          </w:p>
          <w:p w:rsidR="00CB6CCA" w:rsidRPr="00CC17B9" w:rsidRDefault="00CB6CCA" w:rsidP="00CB6CCA">
            <w:pPr>
              <w:ind w:left="-101" w:right="-249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17B9" w:rsidRPr="00CC17B9" w:rsidRDefault="0096023F" w:rsidP="00296E3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  <w:r w:rsidR="00CC17B9" w:rsidRPr="00CC17B9">
              <w:rPr>
                <w:b/>
                <w:sz w:val="24"/>
              </w:rPr>
              <w:t xml:space="preserve"> 000,00:</w:t>
            </w: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</w:p>
          <w:p w:rsidR="00CC17B9" w:rsidRPr="00CC17B9" w:rsidRDefault="0096023F" w:rsidP="00296E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 w:rsidR="00CC17B9" w:rsidRPr="00CC17B9">
              <w:rPr>
                <w:sz w:val="24"/>
              </w:rPr>
              <w:t xml:space="preserve"> </w:t>
            </w:r>
            <w:proofErr w:type="spellStart"/>
            <w:r w:rsidR="00CC17B9" w:rsidRPr="00CC17B9">
              <w:rPr>
                <w:sz w:val="24"/>
              </w:rPr>
              <w:t>чол</w:t>
            </w:r>
            <w:proofErr w:type="spellEnd"/>
            <w:r w:rsidR="00CC17B9" w:rsidRPr="00CC17B9">
              <w:rPr>
                <w:sz w:val="24"/>
              </w:rPr>
              <w:t>. ×</w:t>
            </w: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  <w:r w:rsidRPr="00CC17B9">
              <w:rPr>
                <w:sz w:val="24"/>
              </w:rPr>
              <w:t>300,00 грн ×</w:t>
            </w:r>
          </w:p>
          <w:p w:rsidR="00CC17B9" w:rsidRPr="00CC17B9" w:rsidRDefault="00CC17B9" w:rsidP="00296E3B">
            <w:pPr>
              <w:jc w:val="center"/>
              <w:rPr>
                <w:sz w:val="24"/>
              </w:rPr>
            </w:pPr>
            <w:r w:rsidRPr="00CC17B9">
              <w:rPr>
                <w:sz w:val="24"/>
              </w:rPr>
              <w:t>2</w:t>
            </w: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</w:p>
          <w:p w:rsidR="00833BDD" w:rsidRDefault="00833BDD" w:rsidP="00296E3B">
            <w:pPr>
              <w:ind w:left="-101" w:right="-249"/>
              <w:jc w:val="center"/>
              <w:rPr>
                <w:b/>
                <w:sz w:val="24"/>
              </w:rPr>
            </w:pPr>
          </w:p>
          <w:p w:rsidR="00833BDD" w:rsidRDefault="00833BDD" w:rsidP="00296E3B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B6CCA" w:rsidRDefault="00CB6CCA" w:rsidP="00296E3B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B6CCA" w:rsidRDefault="00CB6CCA" w:rsidP="00296E3B">
            <w:pPr>
              <w:ind w:left="-101" w:right="-249"/>
              <w:jc w:val="center"/>
              <w:rPr>
                <w:b/>
                <w:sz w:val="24"/>
              </w:rPr>
            </w:pPr>
          </w:p>
          <w:p w:rsidR="00CC17B9" w:rsidRPr="00CC17B9" w:rsidRDefault="0096023F" w:rsidP="00296E3B">
            <w:pPr>
              <w:ind w:left="-101" w:right="-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3 500</w:t>
            </w:r>
            <w:r w:rsidR="00CC17B9" w:rsidRPr="00CC17B9">
              <w:rPr>
                <w:b/>
                <w:sz w:val="24"/>
              </w:rPr>
              <w:t>,00:</w:t>
            </w: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</w:p>
          <w:p w:rsidR="00CC17B9" w:rsidRPr="003248FE" w:rsidRDefault="0096023F" w:rsidP="00296E3B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>250</w:t>
            </w:r>
            <w:r w:rsidR="00CC17B9" w:rsidRPr="003248FE">
              <w:rPr>
                <w:sz w:val="24"/>
              </w:rPr>
              <w:t xml:space="preserve"> </w:t>
            </w:r>
            <w:proofErr w:type="spellStart"/>
            <w:r w:rsidR="00CC17B9" w:rsidRPr="003248FE">
              <w:rPr>
                <w:sz w:val="24"/>
              </w:rPr>
              <w:t>чол</w:t>
            </w:r>
            <w:proofErr w:type="spellEnd"/>
            <w:r w:rsidR="00CC17B9" w:rsidRPr="003248FE">
              <w:rPr>
                <w:sz w:val="24"/>
              </w:rPr>
              <w:t>. х</w:t>
            </w:r>
          </w:p>
          <w:p w:rsidR="00CC17B9" w:rsidRPr="00CC17B9" w:rsidRDefault="00CC17B9" w:rsidP="00296E3B">
            <w:pPr>
              <w:ind w:left="-101" w:right="-249"/>
              <w:jc w:val="center"/>
              <w:rPr>
                <w:sz w:val="24"/>
              </w:rPr>
            </w:pPr>
            <w:r w:rsidRPr="003248FE">
              <w:rPr>
                <w:sz w:val="24"/>
              </w:rPr>
              <w:t>7,00 грн х 2</w:t>
            </w:r>
          </w:p>
        </w:tc>
      </w:tr>
    </w:tbl>
    <w:p w:rsidR="008E4B92" w:rsidRDefault="008E4B92" w:rsidP="00D52AFC">
      <w:pPr>
        <w:tabs>
          <w:tab w:val="left" w:pos="426"/>
        </w:tabs>
        <w:ind w:left="5954"/>
        <w:rPr>
          <w:b/>
        </w:rPr>
      </w:pPr>
    </w:p>
    <w:p w:rsidR="002276BB" w:rsidRDefault="002276BB" w:rsidP="00D52AFC">
      <w:pPr>
        <w:tabs>
          <w:tab w:val="left" w:pos="426"/>
        </w:tabs>
        <w:ind w:left="5954"/>
        <w:rPr>
          <w:b/>
        </w:rPr>
      </w:pP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Директор </w:t>
      </w:r>
      <w:r>
        <w:rPr>
          <w:b/>
          <w:szCs w:val="28"/>
        </w:rPr>
        <w:t>Д</w:t>
      </w:r>
      <w:r w:rsidRPr="008F10F3">
        <w:rPr>
          <w:b/>
          <w:szCs w:val="28"/>
        </w:rPr>
        <w:t xml:space="preserve">епартаменту </w:t>
      </w:r>
    </w:p>
    <w:p w:rsidR="00D52AFC" w:rsidRPr="008F10F3" w:rsidRDefault="00D52AFC" w:rsidP="00D52AFC">
      <w:pPr>
        <w:jc w:val="both"/>
        <w:rPr>
          <w:b/>
          <w:szCs w:val="28"/>
        </w:rPr>
      </w:pPr>
      <w:r w:rsidRPr="008F10F3">
        <w:rPr>
          <w:b/>
          <w:szCs w:val="28"/>
        </w:rPr>
        <w:t xml:space="preserve">соціального захисту населення </w:t>
      </w:r>
    </w:p>
    <w:p w:rsidR="00D52AFC" w:rsidRDefault="00D52AFC" w:rsidP="00D52AFC">
      <w:pPr>
        <w:tabs>
          <w:tab w:val="left" w:pos="7088"/>
        </w:tabs>
        <w:jc w:val="both"/>
        <w:rPr>
          <w:b/>
          <w:szCs w:val="28"/>
        </w:rPr>
      </w:pPr>
      <w:r w:rsidRPr="008F10F3">
        <w:rPr>
          <w:b/>
          <w:szCs w:val="28"/>
        </w:rPr>
        <w:t>Кременчуцької міської ради</w:t>
      </w:r>
    </w:p>
    <w:p w:rsidR="00D52AFC" w:rsidRPr="008F10F3" w:rsidRDefault="00D52AFC" w:rsidP="00D52AFC">
      <w:pPr>
        <w:tabs>
          <w:tab w:val="left" w:pos="7088"/>
        </w:tabs>
        <w:jc w:val="both"/>
        <w:rPr>
          <w:b/>
          <w:szCs w:val="28"/>
        </w:rPr>
      </w:pPr>
      <w:r>
        <w:rPr>
          <w:b/>
          <w:szCs w:val="28"/>
        </w:rPr>
        <w:t>Кременчуцького району</w:t>
      </w:r>
      <w:r w:rsidRPr="008F10F3">
        <w:rPr>
          <w:b/>
          <w:szCs w:val="28"/>
        </w:rPr>
        <w:tab/>
        <w:t xml:space="preserve"> </w:t>
      </w:r>
    </w:p>
    <w:p w:rsidR="00D52AFC" w:rsidRDefault="00D52AFC" w:rsidP="000527B4">
      <w:pPr>
        <w:tabs>
          <w:tab w:val="left" w:pos="6804"/>
        </w:tabs>
        <w:jc w:val="both"/>
      </w:pPr>
      <w:r w:rsidRPr="008F10F3">
        <w:rPr>
          <w:b/>
          <w:szCs w:val="28"/>
        </w:rPr>
        <w:t xml:space="preserve">Полтавської області </w:t>
      </w:r>
      <w:r w:rsidRPr="008F10F3">
        <w:rPr>
          <w:b/>
          <w:szCs w:val="28"/>
        </w:rPr>
        <w:tab/>
        <w:t>М</w:t>
      </w:r>
      <w:r w:rsidR="000527B4">
        <w:rPr>
          <w:b/>
          <w:szCs w:val="28"/>
        </w:rPr>
        <w:t xml:space="preserve">арина </w:t>
      </w:r>
      <w:r w:rsidRPr="008F10F3">
        <w:rPr>
          <w:b/>
          <w:szCs w:val="28"/>
        </w:rPr>
        <w:t>ДОЦЕНКО</w:t>
      </w:r>
    </w:p>
    <w:sectPr w:rsidR="00D52AFC" w:rsidSect="00E702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D7"/>
    <w:rsid w:val="00013C14"/>
    <w:rsid w:val="000248BC"/>
    <w:rsid w:val="000527B4"/>
    <w:rsid w:val="00075BBD"/>
    <w:rsid w:val="001B022E"/>
    <w:rsid w:val="002276BB"/>
    <w:rsid w:val="0028108F"/>
    <w:rsid w:val="00303753"/>
    <w:rsid w:val="003248FE"/>
    <w:rsid w:val="00336BB7"/>
    <w:rsid w:val="006620B9"/>
    <w:rsid w:val="007241BD"/>
    <w:rsid w:val="00726D65"/>
    <w:rsid w:val="007842D7"/>
    <w:rsid w:val="00833BDD"/>
    <w:rsid w:val="008E4B92"/>
    <w:rsid w:val="009057D4"/>
    <w:rsid w:val="00954E4F"/>
    <w:rsid w:val="0096023F"/>
    <w:rsid w:val="00A32218"/>
    <w:rsid w:val="00A32EC6"/>
    <w:rsid w:val="00A576E5"/>
    <w:rsid w:val="00A65503"/>
    <w:rsid w:val="00AF08AB"/>
    <w:rsid w:val="00B36303"/>
    <w:rsid w:val="00B654A1"/>
    <w:rsid w:val="00B72889"/>
    <w:rsid w:val="00C21743"/>
    <w:rsid w:val="00C72261"/>
    <w:rsid w:val="00C90A08"/>
    <w:rsid w:val="00CB6CCA"/>
    <w:rsid w:val="00CC17B9"/>
    <w:rsid w:val="00D437CB"/>
    <w:rsid w:val="00D46661"/>
    <w:rsid w:val="00D52AFC"/>
    <w:rsid w:val="00E24597"/>
    <w:rsid w:val="00E702A9"/>
    <w:rsid w:val="00EA7558"/>
    <w:rsid w:val="00F81B58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00C6"/>
  <w15:chartTrackingRefBased/>
  <w15:docId w15:val="{B42A6558-C441-42FF-8A94-FE5F38DD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7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7CB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2022-09-26T05:50:00Z</cp:lastPrinted>
  <dcterms:created xsi:type="dcterms:W3CDTF">2022-09-26T05:50:00Z</dcterms:created>
  <dcterms:modified xsi:type="dcterms:W3CDTF">2022-09-26T05:50:00Z</dcterms:modified>
</cp:coreProperties>
</file>