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D3A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232481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 w:rsidR="00232481">
        <w:rPr>
          <w:b/>
          <w:sz w:val="28"/>
          <w:szCs w:val="28"/>
        </w:rPr>
        <w:t xml:space="preserve"> </w:t>
      </w:r>
      <w:r w:rsidR="00C54301">
        <w:rPr>
          <w:b/>
          <w:sz w:val="28"/>
          <w:szCs w:val="28"/>
          <w:lang w:val="uk-UA"/>
        </w:rPr>
        <w:t>25</w:t>
      </w:r>
      <w:r w:rsidR="00232481">
        <w:rPr>
          <w:b/>
          <w:sz w:val="28"/>
          <w:szCs w:val="28"/>
          <w:lang w:val="uk-UA"/>
        </w:rPr>
        <w:t xml:space="preserve"> травня</w:t>
      </w:r>
      <w:r w:rsidR="00232481">
        <w:rPr>
          <w:b/>
          <w:sz w:val="28"/>
          <w:szCs w:val="28"/>
        </w:rPr>
        <w:t xml:space="preserve"> 202</w:t>
      </w:r>
      <w:r w:rsidR="00232481">
        <w:rPr>
          <w:b/>
          <w:sz w:val="28"/>
          <w:szCs w:val="28"/>
          <w:lang w:val="uk-UA"/>
        </w:rPr>
        <w:t>1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A83D4F" w:rsidRDefault="00F9374C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погашення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83D4F" w:rsidRDefault="00F9374C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кредиторської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заборгованості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</w:p>
    <w:p w:rsidR="00A83D4F" w:rsidRDefault="00F9374C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виконання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зобов’язань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2020 року, </w:t>
      </w:r>
    </w:p>
    <w:p w:rsidR="00F9374C" w:rsidRPr="00A83D4F" w:rsidRDefault="00F9374C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які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не </w:t>
      </w:r>
      <w:proofErr w:type="spellStart"/>
      <w:r w:rsidRPr="00A83D4F">
        <w:rPr>
          <w:rFonts w:ascii="Times New Roman" w:hAnsi="Times New Roman"/>
          <w:b/>
          <w:sz w:val="28"/>
          <w:szCs w:val="28"/>
          <w:lang w:val="ru-RU"/>
        </w:rPr>
        <w:t>були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83D4F">
        <w:rPr>
          <w:rFonts w:ascii="Times New Roman" w:hAnsi="Times New Roman"/>
          <w:b/>
          <w:sz w:val="28"/>
          <w:szCs w:val="28"/>
          <w:lang w:val="ru-RU"/>
        </w:rPr>
        <w:t>проф</w:t>
      </w:r>
      <w:proofErr w:type="gramEnd"/>
      <w:r w:rsidRPr="00A83D4F">
        <w:rPr>
          <w:rFonts w:ascii="Times New Roman" w:hAnsi="Times New Roman"/>
          <w:b/>
          <w:sz w:val="28"/>
          <w:szCs w:val="28"/>
          <w:lang w:val="ru-RU"/>
        </w:rPr>
        <w:t>інансовані</w:t>
      </w:r>
      <w:proofErr w:type="spellEnd"/>
      <w:r w:rsidRPr="00A83D4F">
        <w:rPr>
          <w:rFonts w:ascii="Times New Roman" w:hAnsi="Times New Roman"/>
          <w:b/>
          <w:sz w:val="28"/>
          <w:szCs w:val="28"/>
          <w:lang w:val="ru-RU"/>
        </w:rPr>
        <w:t xml:space="preserve"> по </w:t>
      </w:r>
      <w:r w:rsidR="00EA59B1" w:rsidRPr="00A83D4F">
        <w:rPr>
          <w:rFonts w:ascii="Times New Roman" w:hAnsi="Times New Roman"/>
          <w:b/>
          <w:sz w:val="28"/>
          <w:szCs w:val="28"/>
          <w:lang w:val="ru-RU"/>
        </w:rPr>
        <w:t>КПКВКМБ</w:t>
      </w:r>
    </w:p>
    <w:p w:rsidR="00EA59B1" w:rsidRPr="00C7521D" w:rsidRDefault="00EA59B1" w:rsidP="00C7521D">
      <w:pPr>
        <w:pStyle w:val="a3"/>
        <w:rPr>
          <w:rFonts w:ascii="Times New Roman" w:hAnsi="Times New Roman"/>
          <w:b/>
          <w:sz w:val="28"/>
          <w:szCs w:val="28"/>
        </w:rPr>
      </w:pPr>
      <w:r w:rsidRPr="00C7521D">
        <w:rPr>
          <w:rFonts w:ascii="Times New Roman" w:hAnsi="Times New Roman"/>
          <w:b/>
          <w:sz w:val="28"/>
          <w:szCs w:val="28"/>
        </w:rPr>
        <w:t xml:space="preserve">0712152 «Інші програми та заходи у </w:t>
      </w:r>
    </w:p>
    <w:p w:rsidR="00EA59B1" w:rsidRPr="00C54301" w:rsidRDefault="00EA59B1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54301">
        <w:rPr>
          <w:rFonts w:ascii="Times New Roman" w:hAnsi="Times New Roman"/>
          <w:b/>
          <w:sz w:val="28"/>
          <w:szCs w:val="28"/>
          <w:lang w:val="ru-RU"/>
        </w:rPr>
        <w:t>сфері</w:t>
      </w:r>
      <w:proofErr w:type="spellEnd"/>
      <w:r w:rsidRPr="00C543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54301">
        <w:rPr>
          <w:rFonts w:ascii="Times New Roman" w:hAnsi="Times New Roman"/>
          <w:b/>
          <w:sz w:val="28"/>
          <w:szCs w:val="28"/>
          <w:lang w:val="ru-RU"/>
        </w:rPr>
        <w:t>охорони</w:t>
      </w:r>
      <w:proofErr w:type="spellEnd"/>
      <w:r w:rsidRPr="00C543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54301">
        <w:rPr>
          <w:rFonts w:ascii="Times New Roman" w:hAnsi="Times New Roman"/>
          <w:b/>
          <w:sz w:val="28"/>
          <w:szCs w:val="28"/>
          <w:lang w:val="ru-RU"/>
        </w:rPr>
        <w:t>здоров’я</w:t>
      </w:r>
      <w:proofErr w:type="spellEnd"/>
      <w:r w:rsidRPr="00C54301">
        <w:rPr>
          <w:rFonts w:ascii="Times New Roman" w:hAnsi="Times New Roman"/>
          <w:b/>
          <w:sz w:val="28"/>
          <w:szCs w:val="28"/>
          <w:lang w:val="ru-RU"/>
        </w:rPr>
        <w:t>»</w:t>
      </w:r>
      <w:r w:rsidR="00C7521D" w:rsidRPr="00C54301">
        <w:rPr>
          <w:rFonts w:ascii="Times New Roman" w:hAnsi="Times New Roman"/>
          <w:b/>
          <w:sz w:val="28"/>
          <w:szCs w:val="28"/>
          <w:lang w:val="ru-RU"/>
        </w:rPr>
        <w:t>,</w:t>
      </w:r>
      <w:r w:rsidRPr="00C543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9374C" w:rsidRPr="00C54301">
        <w:rPr>
          <w:rFonts w:ascii="Times New Roman" w:hAnsi="Times New Roman"/>
          <w:b/>
          <w:sz w:val="28"/>
          <w:szCs w:val="28"/>
          <w:lang w:val="ru-RU"/>
        </w:rPr>
        <w:t xml:space="preserve">Департаменту </w:t>
      </w:r>
    </w:p>
    <w:p w:rsidR="00F9374C" w:rsidRPr="00C54301" w:rsidRDefault="00F9374C" w:rsidP="00C752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54301">
        <w:rPr>
          <w:rFonts w:ascii="Times New Roman" w:hAnsi="Times New Roman"/>
          <w:b/>
          <w:sz w:val="28"/>
          <w:szCs w:val="28"/>
          <w:lang w:val="ru-RU"/>
        </w:rPr>
        <w:t>охорони</w:t>
      </w:r>
      <w:proofErr w:type="spellEnd"/>
      <w:r w:rsidRPr="00C543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54301">
        <w:rPr>
          <w:rFonts w:ascii="Times New Roman" w:hAnsi="Times New Roman"/>
          <w:b/>
          <w:sz w:val="28"/>
          <w:szCs w:val="28"/>
          <w:lang w:val="ru-RU"/>
        </w:rPr>
        <w:t>здоров’я</w:t>
      </w:r>
      <w:proofErr w:type="spellEnd"/>
      <w:r w:rsidR="00EA59B1" w:rsidRPr="00C543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54301">
        <w:rPr>
          <w:rFonts w:ascii="Times New Roman" w:hAnsi="Times New Roman"/>
          <w:b/>
          <w:sz w:val="28"/>
          <w:szCs w:val="28"/>
          <w:lang w:val="ru-RU"/>
        </w:rPr>
        <w:t>на</w:t>
      </w:r>
      <w:r w:rsidRPr="00C7521D">
        <w:rPr>
          <w:rFonts w:ascii="Times New Roman" w:hAnsi="Times New Roman"/>
          <w:b/>
          <w:sz w:val="28"/>
          <w:szCs w:val="28"/>
        </w:rPr>
        <w:t> </w:t>
      </w:r>
      <w:r w:rsidRPr="00C54301">
        <w:rPr>
          <w:rFonts w:ascii="Times New Roman" w:hAnsi="Times New Roman"/>
          <w:b/>
          <w:sz w:val="28"/>
          <w:szCs w:val="28"/>
          <w:lang w:val="ru-RU"/>
        </w:rPr>
        <w:t xml:space="preserve">2021 </w:t>
      </w:r>
      <w:proofErr w:type="spellStart"/>
      <w:proofErr w:type="gramStart"/>
      <w:r w:rsidRPr="00C54301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C54301">
        <w:rPr>
          <w:rFonts w:ascii="Times New Roman" w:hAnsi="Times New Roman"/>
          <w:b/>
          <w:sz w:val="28"/>
          <w:szCs w:val="28"/>
          <w:lang w:val="ru-RU"/>
        </w:rPr>
        <w:t>ік</w:t>
      </w:r>
      <w:proofErr w:type="spellEnd"/>
    </w:p>
    <w:p w:rsidR="00F9374C" w:rsidRPr="00F9374C" w:rsidRDefault="00F9374C" w:rsidP="00F9374C">
      <w:pPr>
        <w:rPr>
          <w:sz w:val="28"/>
          <w:szCs w:val="28"/>
          <w:lang w:val="uk-UA"/>
        </w:rPr>
      </w:pPr>
      <w:r w:rsidRPr="003129DB">
        <w:rPr>
          <w:sz w:val="28"/>
          <w:szCs w:val="28"/>
        </w:rPr>
        <w:t> </w:t>
      </w:r>
    </w:p>
    <w:p w:rsidR="00F9374C" w:rsidRPr="00C7521D" w:rsidRDefault="00F9374C" w:rsidP="00C5430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7521D">
        <w:rPr>
          <w:rFonts w:ascii="Times New Roman" w:hAnsi="Times New Roman"/>
          <w:sz w:val="28"/>
          <w:szCs w:val="28"/>
          <w:lang w:val="uk-UA"/>
        </w:rPr>
        <w:t>З метою погашення кредиторської заборгованості та виконання зобов’язань, які склалися та не були профінансовані, для раціонального використання фінансових та матеріальних ресурсів</w:t>
      </w:r>
      <w:r w:rsidR="00AD25B3" w:rsidRPr="00C752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7521D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C7521D" w:rsidRPr="00C7521D">
        <w:rPr>
          <w:rFonts w:ascii="Times New Roman" w:hAnsi="Times New Roman"/>
          <w:sz w:val="28"/>
          <w:szCs w:val="28"/>
          <w:lang w:val="uk-UA"/>
        </w:rPr>
        <w:t>ст.ст.</w:t>
      </w:r>
      <w:r w:rsidRPr="00C7521D">
        <w:rPr>
          <w:rFonts w:ascii="Times New Roman" w:hAnsi="Times New Roman"/>
          <w:sz w:val="28"/>
          <w:szCs w:val="28"/>
          <w:lang w:val="uk-UA"/>
        </w:rPr>
        <w:t xml:space="preserve"> 48,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F9374C" w:rsidRDefault="00F9374C" w:rsidP="00F9374C">
      <w:pPr>
        <w:ind w:firstLine="709"/>
        <w:jc w:val="both"/>
        <w:rPr>
          <w:sz w:val="24"/>
          <w:szCs w:val="24"/>
          <w:lang w:val="uk-UA"/>
        </w:rPr>
      </w:pPr>
    </w:p>
    <w:p w:rsidR="00F9374C" w:rsidRPr="006355AF" w:rsidRDefault="00F9374C" w:rsidP="00F9374C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F9374C" w:rsidRPr="006355AF" w:rsidRDefault="00F9374C" w:rsidP="00F9374C">
      <w:pPr>
        <w:jc w:val="both"/>
        <w:rPr>
          <w:sz w:val="24"/>
          <w:szCs w:val="24"/>
          <w:lang w:val="uk-UA"/>
        </w:rPr>
      </w:pPr>
    </w:p>
    <w:p w:rsidR="00F9374C" w:rsidRPr="00C7521D" w:rsidRDefault="00F9374C" w:rsidP="00C5430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погашення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кредиторської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заборгованості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зобов’язань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2020 року,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були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7521D">
        <w:rPr>
          <w:rFonts w:ascii="Times New Roman" w:hAnsi="Times New Roman"/>
          <w:sz w:val="28"/>
          <w:szCs w:val="28"/>
          <w:lang w:val="ru-RU"/>
        </w:rPr>
        <w:t>проф</w:t>
      </w:r>
      <w:proofErr w:type="gramEnd"/>
      <w:r w:rsidRPr="00C7521D">
        <w:rPr>
          <w:rFonts w:ascii="Times New Roman" w:hAnsi="Times New Roman"/>
          <w:sz w:val="28"/>
          <w:szCs w:val="28"/>
          <w:lang w:val="ru-RU"/>
        </w:rPr>
        <w:t>інансовані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C7521D" w:rsidRPr="00C7521D">
        <w:rPr>
          <w:rFonts w:ascii="Times New Roman" w:hAnsi="Times New Roman"/>
          <w:sz w:val="28"/>
          <w:szCs w:val="28"/>
          <w:lang w:val="ru-RU"/>
        </w:rPr>
        <w:t>КПКВКМБ</w:t>
      </w:r>
      <w:r w:rsidR="00C752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521D" w:rsidRPr="00C7521D">
        <w:rPr>
          <w:rFonts w:ascii="Times New Roman" w:hAnsi="Times New Roman"/>
          <w:sz w:val="28"/>
          <w:szCs w:val="28"/>
          <w:lang w:val="ru-RU"/>
        </w:rPr>
        <w:t>0712152 «</w:t>
      </w:r>
      <w:proofErr w:type="spellStart"/>
      <w:r w:rsidR="00C7521D" w:rsidRPr="00C7521D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="00C7521D"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7521D" w:rsidRPr="00C7521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="00C7521D" w:rsidRPr="00C7521D">
        <w:rPr>
          <w:rFonts w:ascii="Times New Roman" w:hAnsi="Times New Roman"/>
          <w:sz w:val="28"/>
          <w:szCs w:val="28"/>
          <w:lang w:val="ru-RU"/>
        </w:rPr>
        <w:t xml:space="preserve"> та заходи у </w:t>
      </w:r>
      <w:proofErr w:type="spellStart"/>
      <w:r w:rsidR="00C7521D" w:rsidRPr="00C7521D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="00C7521D"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7521D" w:rsidRPr="00C7521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C7521D"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7521D" w:rsidRPr="00C7521D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C7521D" w:rsidRPr="00C7521D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Pr="00C7521D">
        <w:rPr>
          <w:rFonts w:ascii="Times New Roman" w:hAnsi="Times New Roman"/>
          <w:sz w:val="28"/>
          <w:szCs w:val="28"/>
          <w:lang w:val="ru-RU"/>
        </w:rPr>
        <w:t xml:space="preserve">Департаменту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Pr="00C7521D">
        <w:rPr>
          <w:rFonts w:ascii="Times New Roman" w:hAnsi="Times New Roman"/>
          <w:sz w:val="28"/>
          <w:szCs w:val="28"/>
        </w:rPr>
        <w:t> </w:t>
      </w:r>
      <w:r w:rsidRPr="00C7521D">
        <w:rPr>
          <w:rFonts w:ascii="Times New Roman" w:hAnsi="Times New Roman"/>
          <w:sz w:val="28"/>
          <w:szCs w:val="28"/>
          <w:lang w:val="ru-RU"/>
        </w:rPr>
        <w:t xml:space="preserve">2021 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7521D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Pr="00C7521D">
        <w:rPr>
          <w:rFonts w:ascii="Times New Roman" w:hAnsi="Times New Roman"/>
          <w:sz w:val="28"/>
          <w:szCs w:val="28"/>
          <w:lang w:val="ru-RU"/>
        </w:rPr>
        <w:t>).</w:t>
      </w:r>
    </w:p>
    <w:p w:rsidR="00F9374C" w:rsidRPr="00C7521D" w:rsidRDefault="00F9374C" w:rsidP="00C54301">
      <w:pPr>
        <w:pStyle w:val="a6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7521D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C7521D">
        <w:rPr>
          <w:sz w:val="28"/>
          <w:szCs w:val="28"/>
          <w:lang w:val="uk-UA"/>
        </w:rPr>
        <w:t xml:space="preserve">Кременчуцького району </w:t>
      </w:r>
      <w:r w:rsidRPr="00C7521D">
        <w:rPr>
          <w:sz w:val="28"/>
          <w:szCs w:val="28"/>
          <w:lang w:val="uk-UA"/>
        </w:rPr>
        <w:t>Полтавської області (</w:t>
      </w:r>
      <w:proofErr w:type="spellStart"/>
      <w:r w:rsidRPr="00C7521D">
        <w:rPr>
          <w:sz w:val="28"/>
          <w:szCs w:val="28"/>
          <w:lang w:val="uk-UA"/>
        </w:rPr>
        <w:t>Неіленко</w:t>
      </w:r>
      <w:proofErr w:type="spellEnd"/>
      <w:r w:rsidRPr="00C7521D">
        <w:rPr>
          <w:sz w:val="28"/>
          <w:szCs w:val="28"/>
          <w:lang w:val="uk-UA"/>
        </w:rPr>
        <w:t xml:space="preserve"> Т.Г.) та Департаменту охорони здоров’я Кременчуцької міської ради </w:t>
      </w:r>
      <w:r w:rsidR="00EA59B1" w:rsidRPr="00C7521D">
        <w:rPr>
          <w:sz w:val="28"/>
          <w:szCs w:val="28"/>
          <w:lang w:val="uk-UA"/>
        </w:rPr>
        <w:t xml:space="preserve">Кременчуцького району </w:t>
      </w:r>
      <w:r w:rsidRPr="00C7521D">
        <w:rPr>
          <w:sz w:val="28"/>
          <w:szCs w:val="28"/>
          <w:lang w:val="uk-UA"/>
        </w:rPr>
        <w:t>Полтавської області (Середа М.В.) здійснювати загальну координацію, фінансування та моніторинг виконання заходів Програми.</w:t>
      </w:r>
      <w:r w:rsidRPr="00C7521D">
        <w:rPr>
          <w:sz w:val="28"/>
          <w:szCs w:val="28"/>
        </w:rPr>
        <w:t> </w:t>
      </w:r>
    </w:p>
    <w:p w:rsidR="00FD6718" w:rsidRDefault="00FD6718" w:rsidP="00C54301">
      <w:pPr>
        <w:tabs>
          <w:tab w:val="left" w:pos="1134"/>
        </w:tabs>
        <w:ind w:firstLine="567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333EAB">
        <w:rPr>
          <w:rFonts w:eastAsia="Calibri"/>
          <w:sz w:val="28"/>
          <w:szCs w:val="22"/>
          <w:lang w:val="uk-UA" w:eastAsia="en-US"/>
        </w:rPr>
        <w:t xml:space="preserve"> </w:t>
      </w:r>
      <w:r w:rsidR="00C54301">
        <w:rPr>
          <w:rFonts w:eastAsia="Calibri"/>
          <w:sz w:val="28"/>
          <w:szCs w:val="22"/>
          <w:lang w:val="uk-UA" w:eastAsia="en-US"/>
        </w:rPr>
        <w:t xml:space="preserve">   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F9374C" w:rsidP="00C5430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C5430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C7521D">
        <w:rPr>
          <w:rFonts w:ascii="Times New Roman" w:eastAsia="Calibri" w:hAnsi="Times New Roman"/>
          <w:sz w:val="28"/>
          <w:szCs w:val="28"/>
          <w:lang w:val="ru-RU"/>
        </w:rPr>
        <w:t xml:space="preserve">на </w:t>
      </w:r>
      <w:r w:rsidR="00C7521D" w:rsidRPr="00976A0A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– директора Департаменту фінансів </w:t>
      </w:r>
      <w:r w:rsidR="00C7521D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7521D" w:rsidRPr="00976A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521D" w:rsidRPr="00976A0A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C7521D" w:rsidRPr="00976A0A">
        <w:rPr>
          <w:rFonts w:ascii="Times New Roman" w:hAnsi="Times New Roman"/>
          <w:sz w:val="28"/>
          <w:szCs w:val="28"/>
          <w:lang w:val="uk-UA"/>
        </w:rPr>
        <w:t xml:space="preserve"> Т.Г.,</w:t>
      </w:r>
      <w:r w:rsidR="00C7521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C7521D" w:rsidRDefault="00C7521D" w:rsidP="00FD6718">
      <w:pPr>
        <w:jc w:val="both"/>
        <w:rPr>
          <w:rFonts w:eastAsia="Calibri"/>
          <w:sz w:val="28"/>
          <w:szCs w:val="22"/>
          <w:lang w:val="uk-UA"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Міський голова                                       </w:t>
      </w:r>
      <w:r w:rsidR="00C54301">
        <w:rPr>
          <w:rFonts w:eastAsia="Calibri"/>
          <w:b/>
          <w:sz w:val="28"/>
          <w:szCs w:val="22"/>
          <w:lang w:val="uk-UA" w:eastAsia="en-US"/>
        </w:rPr>
        <w:t xml:space="preserve">                          Віталій </w:t>
      </w:r>
      <w:r>
        <w:rPr>
          <w:rFonts w:eastAsia="Calibri"/>
          <w:b/>
          <w:sz w:val="28"/>
          <w:szCs w:val="22"/>
          <w:lang w:val="uk-UA" w:eastAsia="en-US"/>
        </w:rPr>
        <w:t>МАЛЕЦЬКИЙ</w:t>
      </w:r>
    </w:p>
    <w:sectPr w:rsidR="00B00010" w:rsidRPr="00FD6718" w:rsidSect="00C54301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357"/>
    <w:multiLevelType w:val="hybridMultilevel"/>
    <w:tmpl w:val="796C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870AC"/>
    <w:multiLevelType w:val="hybridMultilevel"/>
    <w:tmpl w:val="00C293A2"/>
    <w:lvl w:ilvl="0" w:tplc="38FA4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3156"/>
    <w:rsid w:val="001D24AA"/>
    <w:rsid w:val="00232481"/>
    <w:rsid w:val="00263248"/>
    <w:rsid w:val="00333EAB"/>
    <w:rsid w:val="00646EE9"/>
    <w:rsid w:val="00A83D4F"/>
    <w:rsid w:val="00AD25B3"/>
    <w:rsid w:val="00B37D3A"/>
    <w:rsid w:val="00C54301"/>
    <w:rsid w:val="00C7521D"/>
    <w:rsid w:val="00D20A9D"/>
    <w:rsid w:val="00DF6607"/>
    <w:rsid w:val="00E12D79"/>
    <w:rsid w:val="00E76721"/>
    <w:rsid w:val="00EA59B1"/>
    <w:rsid w:val="00F9374C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5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2021-05-26T08:33:00Z</cp:lastPrinted>
  <dcterms:created xsi:type="dcterms:W3CDTF">2020-12-09T13:37:00Z</dcterms:created>
  <dcterms:modified xsi:type="dcterms:W3CDTF">2021-05-26T08:43:00Z</dcterms:modified>
</cp:coreProperties>
</file>