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3A" w:rsidRDefault="00CA433A" w:rsidP="001E1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433A" w:rsidRDefault="00CA433A" w:rsidP="001E1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1D3B" w:rsidRDefault="001E1D3B" w:rsidP="001E1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1E1D3B" w:rsidRPr="001E1D3B" w:rsidRDefault="001E1D3B" w:rsidP="00CA433A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Кременчуцької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  <w:r w:rsidR="00CA4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33AF">
        <w:rPr>
          <w:rFonts w:ascii="Times New Roman" w:hAnsi="Times New Roman"/>
          <w:b/>
          <w:sz w:val="28"/>
          <w:szCs w:val="28"/>
          <w:lang w:val="uk-UA"/>
        </w:rPr>
        <w:t>«</w:t>
      </w:r>
      <w:r w:rsidR="00F26B5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F26B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зміну джерела фінансування</w:t>
      </w:r>
      <w:r w:rsidRPr="001E1D3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»</w:t>
      </w:r>
    </w:p>
    <w:p w:rsidR="001E1D3B" w:rsidRDefault="001E1D3B" w:rsidP="00986D03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</w:p>
    <w:p w:rsidR="001E1D3B" w:rsidRDefault="00F26B5F" w:rsidP="008E7E6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Оскільки щомісячно не виконуються планові показники по надходженню коштів від продажу земельних ділянок, які знаходяться у комунальній власності, </w:t>
      </w:r>
      <w:r w:rsidR="001E1D3B"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фінансів виконавчого комітету Кременчуцької міської ради Полтавської області підготовлено </w:t>
      </w:r>
      <w:proofErr w:type="spellStart"/>
      <w:r w:rsidR="001E1D3B"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1E1D3B"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Кременчуцької міської ради Полтавської області «</w:t>
      </w:r>
      <w:r w:rsidRPr="00F26B5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26B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зміну джерела фінансування</w:t>
      </w:r>
      <w:r w:rsidR="001E1D3B"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F26B5F" w:rsidRDefault="00F26B5F" w:rsidP="00F26B5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2019 році на виконання рішення обласної ради від 25.07.2019 №1123 «Про внесення змін до Переліку природоохоронних заходів для фінансування з фонду охорони навколишнього природного середовища Полтавської області в 2019 році та викладення його в новій редакції» місту Кременчуку було передбачено закупівлю для ККАТП 1628 на умовах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міського бюджету чотирьох одиниць спеціалізованої комунальної техніки у співвідношенні 50% на 50%.</w:t>
      </w:r>
    </w:p>
    <w:p w:rsidR="00AE5326" w:rsidRDefault="00AE5326" w:rsidP="00F26B5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будівництва, містобудування 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архітектури та ЖКГ ОДА здійснено процедуру тендерної закупівлі спецтехніки за бюджетні кошти: виготовлено та поставлено 2 одиниці техніки КАТП 1628 загальною вартістю               10 789,00 тис. грн.</w:t>
      </w:r>
    </w:p>
    <w:p w:rsidR="00AE5326" w:rsidRPr="00E73403" w:rsidRDefault="00AE5326" w:rsidP="00F26B5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Кременчуцької міської ради Полтавської області гарантував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видатків на придбання ще двох сміттєвозів відповідно до Переліку, але повністю заплановану суму не перераховано. Тому виникла необхідність змінити джерело фінансування вказаних витрат.</w:t>
      </w:r>
    </w:p>
    <w:p w:rsidR="00986D03" w:rsidRDefault="00986D03" w:rsidP="001E1D3B">
      <w:pPr>
        <w:tabs>
          <w:tab w:val="left" w:pos="0"/>
          <w:tab w:val="left" w:pos="709"/>
          <w:tab w:val="left" w:pos="993"/>
          <w:tab w:val="left" w:pos="141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</w:p>
    <w:p w:rsidR="00D7182E" w:rsidRDefault="00D7182E" w:rsidP="001E1D3B">
      <w:pPr>
        <w:jc w:val="both"/>
        <w:rPr>
          <w:lang w:val="uk-UA"/>
        </w:rPr>
      </w:pPr>
    </w:p>
    <w:p w:rsidR="00F26B5F" w:rsidRDefault="00F26B5F" w:rsidP="00D83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– </w:t>
      </w:r>
    </w:p>
    <w:p w:rsidR="001E1D3B" w:rsidRPr="001A41C7" w:rsidRDefault="00F26B5F" w:rsidP="00D83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1E1D3B">
        <w:rPr>
          <w:rFonts w:ascii="Times New Roman" w:hAnsi="Times New Roman" w:cs="Times New Roman"/>
          <w:b/>
          <w:sz w:val="28"/>
          <w:szCs w:val="28"/>
          <w:lang w:val="uk-UA"/>
        </w:rPr>
        <w:t>Департаменту фінансів</w:t>
      </w:r>
      <w:r w:rsidR="001E1D3B" w:rsidRPr="001A41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="00797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Т.Г.Неіленко</w:t>
      </w:r>
      <w:proofErr w:type="spellEnd"/>
    </w:p>
    <w:p w:rsidR="001E1D3B" w:rsidRPr="00986D03" w:rsidRDefault="001E1D3B">
      <w:pPr>
        <w:rPr>
          <w:lang w:val="uk-UA"/>
        </w:rPr>
      </w:pPr>
    </w:p>
    <w:sectPr w:rsidR="001E1D3B" w:rsidRPr="00986D03" w:rsidSect="00D83E2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37211"/>
    <w:multiLevelType w:val="multilevel"/>
    <w:tmpl w:val="957C2F0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03"/>
    <w:rsid w:val="001E1D3B"/>
    <w:rsid w:val="006E0DB6"/>
    <w:rsid w:val="00797809"/>
    <w:rsid w:val="008E7E6B"/>
    <w:rsid w:val="00986D03"/>
    <w:rsid w:val="00AE5326"/>
    <w:rsid w:val="00CA433A"/>
    <w:rsid w:val="00D7182E"/>
    <w:rsid w:val="00D83E2F"/>
    <w:rsid w:val="00F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0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0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budget2ok</dc:creator>
  <cp:lastModifiedBy>sekretar</cp:lastModifiedBy>
  <cp:revision>6</cp:revision>
  <cp:lastPrinted>2020-10-13T09:10:00Z</cp:lastPrinted>
  <dcterms:created xsi:type="dcterms:W3CDTF">2020-10-13T09:01:00Z</dcterms:created>
  <dcterms:modified xsi:type="dcterms:W3CDTF">2020-10-13T09:16:00Z</dcterms:modified>
</cp:coreProperties>
</file>