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AF5" w:rsidRPr="00162541" w:rsidRDefault="00103AF5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:rsidR="00103AF5" w:rsidRPr="00162541" w:rsidRDefault="00EB2C8D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до проє</w:t>
      </w:r>
      <w:r w:rsidR="00103AF5" w:rsidRPr="00162541">
        <w:rPr>
          <w:rFonts w:ascii="Times New Roman" w:hAnsi="Times New Roman" w:cs="Times New Roman"/>
          <w:b/>
          <w:bCs/>
          <w:sz w:val="28"/>
          <w:szCs w:val="28"/>
        </w:rPr>
        <w:t>кту рішення Кременчуцької міської ради Полтавської області</w:t>
      </w:r>
    </w:p>
    <w:p w:rsidR="008B4E50" w:rsidRPr="00162541" w:rsidRDefault="00103AF5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4432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B4E50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внесення змін до рішення  </w:t>
      </w:r>
      <w:r w:rsidR="005B7A69" w:rsidRPr="00162541">
        <w:rPr>
          <w:rFonts w:ascii="Times New Roman" w:hAnsi="Times New Roman" w:cs="Times New Roman"/>
          <w:b/>
          <w:bCs/>
          <w:sz w:val="28"/>
          <w:szCs w:val="28"/>
        </w:rPr>
        <w:t>міської ради від 13</w:t>
      </w:r>
      <w:r w:rsidR="008B4E50"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грудня 2018 року </w:t>
      </w:r>
    </w:p>
    <w:p w:rsidR="008B4E50" w:rsidRPr="00162541" w:rsidRDefault="008B4E50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Програми Оптимізації та розвитку системи </w:t>
      </w:r>
    </w:p>
    <w:p w:rsidR="008B4E50" w:rsidRPr="00162541" w:rsidRDefault="008B4E50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>теплозабезпечення та гарячого водопостачання м. Кременчука</w:t>
      </w:r>
    </w:p>
    <w:p w:rsidR="00447510" w:rsidRDefault="008B4E50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41">
        <w:rPr>
          <w:rFonts w:ascii="Times New Roman" w:hAnsi="Times New Roman" w:cs="Times New Roman"/>
          <w:b/>
          <w:bCs/>
          <w:sz w:val="28"/>
          <w:szCs w:val="28"/>
        </w:rPr>
        <w:t xml:space="preserve"> на 2019-2021 роки»</w:t>
      </w:r>
      <w:r w:rsidR="002F2BC1" w:rsidRPr="001625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0918" w:rsidRPr="00162541" w:rsidRDefault="00F40918" w:rsidP="00F40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25F" w:rsidRPr="00162541" w:rsidRDefault="00F0425F" w:rsidP="002F4E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541">
        <w:rPr>
          <w:rFonts w:ascii="Times New Roman" w:hAnsi="Times New Roman" w:cs="Times New Roman"/>
          <w:bCs/>
          <w:sz w:val="28"/>
          <w:szCs w:val="28"/>
        </w:rPr>
        <w:t>Програмою «Оптимізації та розвитку системи теплозабезпечення та гарячого водопостачання м. Кременчука на 2019-2021 роки», затвердженою рішенням Кременчуцької міської ради Полтавської області від 1</w:t>
      </w:r>
      <w:r w:rsidR="006D7F27" w:rsidRPr="00162541">
        <w:rPr>
          <w:rFonts w:ascii="Times New Roman" w:hAnsi="Times New Roman" w:cs="Times New Roman"/>
          <w:bCs/>
          <w:sz w:val="28"/>
          <w:szCs w:val="28"/>
        </w:rPr>
        <w:t>3</w:t>
      </w:r>
      <w:r w:rsidRPr="00162541">
        <w:rPr>
          <w:rFonts w:ascii="Times New Roman" w:hAnsi="Times New Roman" w:cs="Times New Roman"/>
          <w:bCs/>
          <w:sz w:val="28"/>
          <w:szCs w:val="28"/>
        </w:rPr>
        <w:t xml:space="preserve"> грудня </w:t>
      </w:r>
      <w:r w:rsidR="008C5777" w:rsidRPr="0016254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62541">
        <w:rPr>
          <w:rFonts w:ascii="Times New Roman" w:hAnsi="Times New Roman" w:cs="Times New Roman"/>
          <w:bCs/>
          <w:sz w:val="28"/>
          <w:szCs w:val="28"/>
        </w:rPr>
        <w:t xml:space="preserve">2018 року, </w:t>
      </w:r>
      <w:r w:rsidR="0059760F" w:rsidRPr="00162541">
        <w:rPr>
          <w:rFonts w:ascii="Times New Roman" w:hAnsi="Times New Roman" w:cs="Times New Roman"/>
          <w:bCs/>
          <w:sz w:val="28"/>
          <w:szCs w:val="28"/>
        </w:rPr>
        <w:t xml:space="preserve">було </w:t>
      </w:r>
      <w:r w:rsidRPr="00162541">
        <w:rPr>
          <w:rFonts w:ascii="Times New Roman" w:hAnsi="Times New Roman" w:cs="Times New Roman"/>
          <w:bCs/>
          <w:sz w:val="28"/>
          <w:szCs w:val="28"/>
        </w:rPr>
        <w:t xml:space="preserve">передбачено фінансування заходів, пов’язаних з розвитком та оптимізацією інженерних систем теплопостачання та гарячого водопостачання </w:t>
      </w:r>
      <w:r w:rsidR="002F4EA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162541">
        <w:rPr>
          <w:rFonts w:ascii="Times New Roman" w:hAnsi="Times New Roman" w:cs="Times New Roman"/>
          <w:bCs/>
          <w:sz w:val="28"/>
          <w:szCs w:val="28"/>
        </w:rPr>
        <w:t>м. Кременчука.</w:t>
      </w:r>
    </w:p>
    <w:p w:rsidR="001C1E53" w:rsidRDefault="00C66323" w:rsidP="002F4E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323">
        <w:rPr>
          <w:rFonts w:ascii="Times New Roman" w:hAnsi="Times New Roman"/>
          <w:sz w:val="28"/>
          <w:szCs w:val="28"/>
        </w:rPr>
        <w:t>КП «Теплоенерго» 01 червня 2016 року прийняло з</w:t>
      </w:r>
      <w:r w:rsidR="00FB1DC2" w:rsidRPr="00C66323">
        <w:rPr>
          <w:rFonts w:ascii="Times New Roman" w:hAnsi="Times New Roman"/>
          <w:sz w:val="28"/>
          <w:szCs w:val="28"/>
        </w:rPr>
        <w:t xml:space="preserve">гідно актів приймання-передачі </w:t>
      </w:r>
      <w:r w:rsidRPr="00C66323">
        <w:rPr>
          <w:rFonts w:ascii="Times New Roman" w:hAnsi="Times New Roman"/>
          <w:sz w:val="28"/>
          <w:szCs w:val="28"/>
        </w:rPr>
        <w:t>та</w:t>
      </w:r>
      <w:r w:rsidR="00FB1DC2" w:rsidRPr="00C66323">
        <w:rPr>
          <w:rFonts w:ascii="Times New Roman" w:hAnsi="Times New Roman"/>
          <w:sz w:val="28"/>
          <w:szCs w:val="28"/>
        </w:rPr>
        <w:t xml:space="preserve"> договору №</w:t>
      </w:r>
      <w:r w:rsidR="005C333B">
        <w:rPr>
          <w:rFonts w:ascii="Times New Roman" w:hAnsi="Times New Roman"/>
          <w:sz w:val="28"/>
          <w:szCs w:val="28"/>
        </w:rPr>
        <w:t xml:space="preserve"> </w:t>
      </w:r>
      <w:r w:rsidR="00FB1DC2" w:rsidRPr="00C66323">
        <w:rPr>
          <w:rFonts w:ascii="Times New Roman" w:hAnsi="Times New Roman"/>
          <w:sz w:val="28"/>
          <w:szCs w:val="28"/>
        </w:rPr>
        <w:t xml:space="preserve">1248 від ПАТ «Полтаваобленерго» в експлуатацію </w:t>
      </w:r>
      <w:r w:rsidRPr="00C66323">
        <w:rPr>
          <w:rFonts w:ascii="Times New Roman" w:hAnsi="Times New Roman"/>
          <w:sz w:val="28"/>
          <w:szCs w:val="28"/>
        </w:rPr>
        <w:t>т</w:t>
      </w:r>
      <w:r w:rsidR="00FB1DC2" w:rsidRPr="00C66323">
        <w:rPr>
          <w:rFonts w:ascii="Times New Roman" w:hAnsi="Times New Roman"/>
          <w:sz w:val="28"/>
          <w:szCs w:val="28"/>
        </w:rPr>
        <w:t xml:space="preserve">а </w:t>
      </w:r>
      <w:r w:rsidRPr="00C66323">
        <w:rPr>
          <w:rFonts w:ascii="Times New Roman" w:hAnsi="Times New Roman"/>
          <w:sz w:val="28"/>
          <w:szCs w:val="28"/>
        </w:rPr>
        <w:t xml:space="preserve">на </w:t>
      </w:r>
      <w:r w:rsidR="00FB1DC2" w:rsidRPr="00C66323">
        <w:rPr>
          <w:rFonts w:ascii="Times New Roman" w:hAnsi="Times New Roman"/>
          <w:sz w:val="28"/>
          <w:szCs w:val="28"/>
        </w:rPr>
        <w:t xml:space="preserve">зберігання основні засоби, </w:t>
      </w:r>
      <w:r w:rsidRPr="00C66323">
        <w:rPr>
          <w:rFonts w:ascii="Times New Roman" w:hAnsi="Times New Roman"/>
          <w:sz w:val="28"/>
          <w:szCs w:val="28"/>
        </w:rPr>
        <w:t>які знаходяться в</w:t>
      </w:r>
      <w:r w:rsidR="00FB1DC2" w:rsidRPr="00C66323">
        <w:rPr>
          <w:rFonts w:ascii="Times New Roman" w:hAnsi="Times New Roman"/>
          <w:sz w:val="28"/>
          <w:szCs w:val="28"/>
        </w:rPr>
        <w:t xml:space="preserve"> приміщенн</w:t>
      </w:r>
      <w:r w:rsidRPr="00C66323">
        <w:rPr>
          <w:rFonts w:ascii="Times New Roman" w:hAnsi="Times New Roman"/>
          <w:sz w:val="28"/>
          <w:szCs w:val="28"/>
        </w:rPr>
        <w:t>і</w:t>
      </w:r>
      <w:r w:rsidR="00FB1DC2" w:rsidRPr="00C66323">
        <w:rPr>
          <w:rFonts w:ascii="Times New Roman" w:hAnsi="Times New Roman"/>
          <w:sz w:val="28"/>
          <w:szCs w:val="28"/>
        </w:rPr>
        <w:t xml:space="preserve"> майстерні ЦТП-98, загальною площею 81,4 </w:t>
      </w:r>
      <w:proofErr w:type="spellStart"/>
      <w:r w:rsidR="00FB1DC2" w:rsidRPr="00C66323">
        <w:rPr>
          <w:rFonts w:ascii="Times New Roman" w:hAnsi="Times New Roman"/>
          <w:sz w:val="28"/>
          <w:szCs w:val="28"/>
        </w:rPr>
        <w:t>кв</w:t>
      </w:r>
      <w:proofErr w:type="spellEnd"/>
      <w:r w:rsidR="00FB1DC2" w:rsidRPr="00C66323">
        <w:rPr>
          <w:rFonts w:ascii="Times New Roman" w:hAnsi="Times New Roman"/>
          <w:sz w:val="28"/>
          <w:szCs w:val="28"/>
        </w:rPr>
        <w:t>.</w:t>
      </w:r>
      <w:r w:rsidR="002A5E62">
        <w:rPr>
          <w:rFonts w:ascii="Times New Roman" w:hAnsi="Times New Roman"/>
          <w:sz w:val="28"/>
          <w:szCs w:val="28"/>
        </w:rPr>
        <w:t xml:space="preserve"> </w:t>
      </w:r>
      <w:r w:rsidR="00FB1DC2" w:rsidRPr="00C66323">
        <w:rPr>
          <w:rFonts w:ascii="Times New Roman" w:hAnsi="Times New Roman"/>
          <w:sz w:val="28"/>
          <w:szCs w:val="28"/>
        </w:rPr>
        <w:t xml:space="preserve">м, що розташована за адресою: Полтавська область, </w:t>
      </w:r>
      <w:r w:rsidRPr="00C66323">
        <w:rPr>
          <w:rFonts w:ascii="Times New Roman" w:hAnsi="Times New Roman"/>
          <w:sz w:val="28"/>
          <w:szCs w:val="28"/>
        </w:rPr>
        <w:t xml:space="preserve">                </w:t>
      </w:r>
      <w:r w:rsidR="00FB1DC2" w:rsidRPr="00C66323">
        <w:rPr>
          <w:rFonts w:ascii="Times New Roman" w:hAnsi="Times New Roman"/>
          <w:sz w:val="28"/>
          <w:szCs w:val="28"/>
        </w:rPr>
        <w:t xml:space="preserve">м. Кременчук, вулиця Шевченка, будинок 64-А. </w:t>
      </w:r>
      <w:r w:rsidR="00A037DD">
        <w:rPr>
          <w:rFonts w:ascii="Times New Roman" w:hAnsi="Times New Roman"/>
          <w:sz w:val="28"/>
          <w:szCs w:val="28"/>
        </w:rPr>
        <w:t>Вищезазначене</w:t>
      </w:r>
      <w:r w:rsidR="00FB1DC2" w:rsidRPr="00C66323">
        <w:rPr>
          <w:rFonts w:ascii="Times New Roman" w:hAnsi="Times New Roman"/>
          <w:sz w:val="28"/>
          <w:szCs w:val="28"/>
        </w:rPr>
        <w:t xml:space="preserve"> приміщення</w:t>
      </w:r>
      <w:r w:rsidR="005C333B">
        <w:rPr>
          <w:rFonts w:ascii="Times New Roman" w:hAnsi="Times New Roman"/>
          <w:sz w:val="28"/>
          <w:szCs w:val="28"/>
        </w:rPr>
        <w:t xml:space="preserve">               </w:t>
      </w:r>
      <w:r w:rsidR="00A037DD">
        <w:rPr>
          <w:rFonts w:ascii="Times New Roman" w:hAnsi="Times New Roman"/>
          <w:sz w:val="28"/>
          <w:szCs w:val="28"/>
        </w:rPr>
        <w:t xml:space="preserve"> КП «Теплоенерго» планує придбати</w:t>
      </w:r>
      <w:r w:rsidR="00E71C48">
        <w:rPr>
          <w:rFonts w:ascii="Times New Roman" w:hAnsi="Times New Roman"/>
          <w:sz w:val="28"/>
          <w:szCs w:val="28"/>
        </w:rPr>
        <w:t>,</w:t>
      </w:r>
      <w:r w:rsidR="00A037DD">
        <w:rPr>
          <w:rFonts w:ascii="Times New Roman" w:hAnsi="Times New Roman"/>
          <w:sz w:val="28"/>
          <w:szCs w:val="28"/>
        </w:rPr>
        <w:t xml:space="preserve"> згідно проведеної оцінки майна</w:t>
      </w:r>
      <w:r w:rsidR="005C333B">
        <w:rPr>
          <w:rFonts w:ascii="Times New Roman" w:hAnsi="Times New Roman"/>
          <w:sz w:val="28"/>
          <w:szCs w:val="28"/>
        </w:rPr>
        <w:t xml:space="preserve">                           </w:t>
      </w:r>
      <w:r w:rsidR="00A037DD">
        <w:rPr>
          <w:rFonts w:ascii="Times New Roman" w:hAnsi="Times New Roman"/>
          <w:sz w:val="28"/>
          <w:szCs w:val="28"/>
        </w:rPr>
        <w:t>ТОВ «Алькорцентр» від 12 серпня 2020 року</w:t>
      </w:r>
      <w:r w:rsidR="00E71C48">
        <w:rPr>
          <w:rFonts w:ascii="Times New Roman" w:hAnsi="Times New Roman"/>
          <w:sz w:val="28"/>
          <w:szCs w:val="28"/>
        </w:rPr>
        <w:t>,</w:t>
      </w:r>
      <w:r w:rsidR="00A037DD">
        <w:rPr>
          <w:rFonts w:ascii="Times New Roman" w:hAnsi="Times New Roman"/>
          <w:sz w:val="28"/>
          <w:szCs w:val="28"/>
        </w:rPr>
        <w:t xml:space="preserve"> вартістю </w:t>
      </w:r>
      <w:r w:rsidR="009A7FEE">
        <w:rPr>
          <w:rFonts w:ascii="Times New Roman" w:hAnsi="Times New Roman"/>
          <w:sz w:val="28"/>
          <w:szCs w:val="28"/>
        </w:rPr>
        <w:t>506,880</w:t>
      </w:r>
      <w:r w:rsidR="00E71C48">
        <w:rPr>
          <w:rFonts w:ascii="Times New Roman" w:hAnsi="Times New Roman"/>
          <w:sz w:val="28"/>
          <w:szCs w:val="28"/>
        </w:rPr>
        <w:t xml:space="preserve"> тис. </w:t>
      </w:r>
      <w:r w:rsidR="00A037DD">
        <w:rPr>
          <w:rFonts w:ascii="Times New Roman" w:hAnsi="Times New Roman"/>
          <w:sz w:val="28"/>
          <w:szCs w:val="28"/>
        </w:rPr>
        <w:t>грн</w:t>
      </w:r>
      <w:r w:rsidR="009A7FEE">
        <w:rPr>
          <w:rFonts w:ascii="Times New Roman" w:hAnsi="Times New Roman"/>
          <w:sz w:val="28"/>
          <w:szCs w:val="28"/>
        </w:rPr>
        <w:t xml:space="preserve"> з ПДВ</w:t>
      </w:r>
      <w:r w:rsidR="00A037DD">
        <w:rPr>
          <w:rFonts w:ascii="Times New Roman" w:hAnsi="Times New Roman"/>
          <w:sz w:val="28"/>
          <w:szCs w:val="28"/>
        </w:rPr>
        <w:t xml:space="preserve">, </w:t>
      </w:r>
      <w:r w:rsidR="00E71C48">
        <w:rPr>
          <w:rFonts w:ascii="Times New Roman" w:hAnsi="Times New Roman"/>
          <w:sz w:val="28"/>
          <w:szCs w:val="28"/>
        </w:rPr>
        <w:t xml:space="preserve">у зв’язку з чим </w:t>
      </w:r>
      <w:r w:rsidR="00FB1DC2" w:rsidRPr="00C66323">
        <w:rPr>
          <w:rFonts w:ascii="Times New Roman" w:hAnsi="Times New Roman"/>
          <w:sz w:val="28"/>
          <w:szCs w:val="28"/>
        </w:rPr>
        <w:t xml:space="preserve">включаємо додатковий захід до Програми, для </w:t>
      </w:r>
      <w:r w:rsidR="00E71C48">
        <w:rPr>
          <w:rFonts w:ascii="Times New Roman" w:hAnsi="Times New Roman"/>
          <w:sz w:val="28"/>
          <w:szCs w:val="28"/>
        </w:rPr>
        <w:t xml:space="preserve">подальшого </w:t>
      </w:r>
      <w:r w:rsidR="00FB1DC2" w:rsidRPr="00C66323">
        <w:rPr>
          <w:rFonts w:ascii="Times New Roman" w:hAnsi="Times New Roman"/>
          <w:sz w:val="28"/>
          <w:szCs w:val="28"/>
        </w:rPr>
        <w:t xml:space="preserve">забезпечення виконання допоміжних функції при здійсненні ремонтних робіт інженерних мереж трубопроводів.   </w:t>
      </w:r>
    </w:p>
    <w:p w:rsidR="001C1E53" w:rsidRDefault="00FB1DC2" w:rsidP="001C1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323">
        <w:rPr>
          <w:rFonts w:ascii="Times New Roman" w:hAnsi="Times New Roman"/>
          <w:sz w:val="28"/>
          <w:szCs w:val="28"/>
        </w:rPr>
        <w:t xml:space="preserve"> </w:t>
      </w:r>
      <w:r w:rsidR="001C1E53" w:rsidRPr="001C1E53">
        <w:rPr>
          <w:rFonts w:ascii="Times New Roman" w:hAnsi="Times New Roman" w:cs="Times New Roman"/>
          <w:sz w:val="28"/>
          <w:szCs w:val="28"/>
        </w:rPr>
        <w:t xml:space="preserve">В червні місяці 2020 року згідно рішення </w:t>
      </w:r>
      <w:r w:rsidR="001C1E53" w:rsidRPr="001C1E53">
        <w:rPr>
          <w:rFonts w:ascii="Times New Roman" w:hAnsi="Times New Roman" w:cs="Times New Roman"/>
          <w:bCs/>
          <w:sz w:val="28"/>
          <w:szCs w:val="28"/>
        </w:rPr>
        <w:t xml:space="preserve">виконавчого комітету Кременчуцької міської ради Полтавської області № 853 від 12.06.2020 «Про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ради» було зменшено суму поповнення обігових коштів в розмірі 356 058,64 грн та збільшено на виконання зобов’язань з реструктуризації заборгованості за природний газ (місцева гарантія), яка виникла у 2019 році та не була профінансована. Виконання вищезазначеного заходу передбачено в Програмі «Погашення кредиторської заборгованості та виконання зобов’язань 2018 та 2019 років, які не були профінансовані по Департаменту житлово-комунального господарства  на 2020 рік», що була затверджена рішенням міської Кременчуцької ради Полтавської області </w:t>
      </w:r>
      <w:r w:rsidR="005C333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1C1E53" w:rsidRPr="001C1E53">
        <w:rPr>
          <w:rFonts w:ascii="Times New Roman" w:hAnsi="Times New Roman" w:cs="Times New Roman"/>
          <w:bCs/>
          <w:sz w:val="28"/>
          <w:szCs w:val="28"/>
        </w:rPr>
        <w:t>23 січня 2020 року.</w:t>
      </w:r>
    </w:p>
    <w:p w:rsidR="001C1E53" w:rsidRPr="001C1E53" w:rsidRDefault="001C1E53" w:rsidP="001C1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1E53">
        <w:rPr>
          <w:rFonts w:ascii="Times New Roman" w:hAnsi="Times New Roman" w:cs="Times New Roman"/>
          <w:bCs/>
          <w:sz w:val="28"/>
          <w:szCs w:val="28"/>
        </w:rPr>
        <w:t xml:space="preserve">На виконання рішення виконавчого комітету Кременчуцької міської ради Полтавської області № 1300 від 01.09.2020 КП «Теплоенерго» переспрямувало кошти з оплати за спожиту теплову енергію від ПАТ «КВБЗ» </w:t>
      </w:r>
      <w:r w:rsidRPr="001C1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статтю витрат «Оплата поточного ремонту вузлів комерційного обліку теплової енергії (за потреби) та їх повірку» в розмірі 2 400,00 тис. грн.</w:t>
      </w:r>
    </w:p>
    <w:p w:rsidR="00FB1DC2" w:rsidRPr="00C66323" w:rsidRDefault="001C1E53" w:rsidP="001C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той же час, згідно</w:t>
      </w:r>
      <w:r w:rsidRPr="001C1E53">
        <w:rPr>
          <w:rFonts w:ascii="Times New Roman" w:hAnsi="Times New Roman" w:cs="Times New Roman"/>
          <w:bCs/>
          <w:sz w:val="28"/>
          <w:szCs w:val="28"/>
        </w:rPr>
        <w:t xml:space="preserve"> для забезпечення виконання затвердженого графіку погашення заборгованості КП «Теплоенерго» перед ПАТ «КВБЗ та недопущення зриву опалювального сезону для мешканців мікрорайону Раківка  </w:t>
      </w:r>
      <w:proofErr w:type="spellStart"/>
      <w:r w:rsidRPr="001C1E53">
        <w:rPr>
          <w:rFonts w:ascii="Times New Roman" w:hAnsi="Times New Roman" w:cs="Times New Roman"/>
          <w:bCs/>
          <w:sz w:val="28"/>
          <w:szCs w:val="28"/>
        </w:rPr>
        <w:t>переспрямов</w:t>
      </w:r>
      <w:r w:rsidR="00587CFA">
        <w:rPr>
          <w:rFonts w:ascii="Times New Roman" w:hAnsi="Times New Roman" w:cs="Times New Roman"/>
          <w:bCs/>
          <w:sz w:val="28"/>
          <w:szCs w:val="28"/>
        </w:rPr>
        <w:t>уємо</w:t>
      </w:r>
      <w:proofErr w:type="spellEnd"/>
      <w:r w:rsidRPr="001C1E53">
        <w:rPr>
          <w:rFonts w:ascii="Times New Roman" w:hAnsi="Times New Roman" w:cs="Times New Roman"/>
          <w:bCs/>
          <w:sz w:val="28"/>
          <w:szCs w:val="28"/>
        </w:rPr>
        <w:t xml:space="preserve"> кошти з заходу «Внески до статутного капіталу </w:t>
      </w:r>
      <w:r w:rsidR="00587C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1C1E53">
        <w:rPr>
          <w:rFonts w:ascii="Times New Roman" w:hAnsi="Times New Roman" w:cs="Times New Roman"/>
          <w:bCs/>
          <w:sz w:val="28"/>
          <w:szCs w:val="28"/>
        </w:rPr>
        <w:lastRenderedPageBreak/>
        <w:t>КП «Теплоенерго» на заміну (реконструкцію) мереж централізованого теплопостачання та гарячого водопостачання м. Кременчука» на поповнення обігових коштів в розмірі 2 400,00 тис. грн на умовах повернення.</w:t>
      </w:r>
      <w:r w:rsidR="00FB1DC2" w:rsidRPr="00C66323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C336AB" w:rsidRDefault="00C66323" w:rsidP="002F4E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336AB" w:rsidRPr="00162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впровадженні комплексу конкретних заходів</w:t>
      </w:r>
      <w:r w:rsidRPr="00C6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625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Програми</w:t>
      </w:r>
      <w:r w:rsidR="00C336AB" w:rsidRPr="001625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виконання можливості забезпечення надійного теплопостачання та гарячого водопостачання  споживачів, а також досягнення економії матеріальних ресурсів були внесенні зміни, а саме:</w:t>
      </w:r>
    </w:p>
    <w:p w:rsidR="00B01F0D" w:rsidRPr="00AB1596" w:rsidRDefault="004878CD" w:rsidP="002F4EA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59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1F0D" w:rsidRPr="00AB1596">
        <w:rPr>
          <w:rFonts w:ascii="Times New Roman" w:hAnsi="Times New Roman" w:cs="Times New Roman"/>
          <w:sz w:val="28"/>
          <w:szCs w:val="28"/>
          <w:lang w:eastAsia="ru-RU"/>
        </w:rPr>
        <w:t>аспорт до Програми викладаємо в новій редакції</w:t>
      </w:r>
      <w:r w:rsidR="00F37ED7" w:rsidRPr="00AB15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1F0D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так як було змінено </w:t>
      </w:r>
      <w:r w:rsidR="00F37ED7" w:rsidRPr="00AB1596">
        <w:rPr>
          <w:rFonts w:ascii="Times New Roman" w:hAnsi="Times New Roman" w:cs="Times New Roman"/>
          <w:sz w:val="28"/>
          <w:szCs w:val="28"/>
          <w:lang w:eastAsia="ru-RU"/>
        </w:rPr>
        <w:t>в рядку 10 суму загального обсягу фінансових ресурсів, необхідних для реалізації програми</w:t>
      </w:r>
      <w:r w:rsidR="00E71C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37ED7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з 2</w:t>
      </w:r>
      <w:r w:rsidR="00AB1596" w:rsidRPr="00AB1596">
        <w:rPr>
          <w:rFonts w:ascii="Times New Roman" w:hAnsi="Times New Roman" w:cs="Times New Roman"/>
          <w:sz w:val="28"/>
          <w:szCs w:val="28"/>
          <w:lang w:eastAsia="ru-RU"/>
        </w:rPr>
        <w:t>03 988,077</w:t>
      </w:r>
      <w:r w:rsidR="00F37ED7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 на </w:t>
      </w:r>
      <w:r w:rsidR="00F37ED7" w:rsidRPr="002F4EA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F4EAB" w:rsidRPr="002F4EA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C1E53">
        <w:rPr>
          <w:rFonts w:ascii="Times New Roman" w:hAnsi="Times New Roman" w:cs="Times New Roman"/>
          <w:sz w:val="28"/>
          <w:szCs w:val="28"/>
          <w:lang w:eastAsia="ru-RU"/>
        </w:rPr>
        <w:t> 138,899</w:t>
      </w:r>
      <w:r w:rsidR="00F37ED7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</w:t>
      </w:r>
      <w:r w:rsidRPr="00AB15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211A" w:rsidRPr="00AB1596" w:rsidRDefault="004878CD" w:rsidP="002F4EA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9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F7641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додатку до Програми</w:t>
      </w:r>
      <w:r w:rsidR="00DB378E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«Обсяги фінансування  Програми оптимізації та розвитку системи теплозабезпечення та гарячого  водопостачання </w:t>
      </w:r>
      <w:r w:rsidR="005C33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B378E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м. Кременчука на 2019-2021 роки» </w:t>
      </w:r>
      <w:r w:rsidR="002F7641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були</w:t>
      </w:r>
      <w:r w:rsidR="00EF211A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внесені</w:t>
      </w:r>
      <w:r w:rsidR="002F7641" w:rsidRPr="00AB1596">
        <w:rPr>
          <w:rFonts w:ascii="Times New Roman" w:hAnsi="Times New Roman" w:cs="Times New Roman"/>
          <w:sz w:val="28"/>
          <w:szCs w:val="28"/>
          <w:lang w:eastAsia="ru-RU"/>
        </w:rPr>
        <w:t xml:space="preserve"> зміни, а саме:</w:t>
      </w:r>
    </w:p>
    <w:p w:rsidR="00EF211A" w:rsidRPr="00162541" w:rsidRDefault="00EF211A" w:rsidP="00AB1596">
      <w:pPr>
        <w:pStyle w:val="a3"/>
        <w:tabs>
          <w:tab w:val="left" w:pos="993"/>
          <w:tab w:val="left" w:pos="680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709"/>
        <w:gridCol w:w="1275"/>
        <w:gridCol w:w="709"/>
        <w:gridCol w:w="2693"/>
      </w:tblGrid>
      <w:tr w:rsidR="002F7641" w:rsidRPr="00162541" w:rsidTr="00405FDE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№  з/п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Найменування заходу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F7641" w:rsidRPr="00162541" w:rsidRDefault="002F7641" w:rsidP="002F4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Внесені зміни</w:t>
            </w:r>
            <w:r w:rsidR="002F4E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2541">
              <w:rPr>
                <w:rFonts w:ascii="Times New Roman" w:hAnsi="Times New Roman" w:cs="Times New Roman"/>
                <w:color w:val="000000"/>
              </w:rPr>
              <w:t>тис. грн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Пояснення</w:t>
            </w:r>
          </w:p>
        </w:tc>
      </w:tr>
      <w:tr w:rsidR="00AD361A" w:rsidRPr="00162541" w:rsidTr="00AD361A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F7641" w:rsidRPr="00162541" w:rsidRDefault="00E377DE" w:rsidP="00AB15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 xml:space="preserve">Разом </w:t>
            </w:r>
            <w:r w:rsidR="002F4EAB">
              <w:rPr>
                <w:rFonts w:ascii="Times New Roman" w:hAnsi="Times New Roman" w:cs="Times New Roman"/>
                <w:b/>
                <w:color w:val="000000"/>
              </w:rPr>
              <w:t>з</w:t>
            </w:r>
            <w:r w:rsidRPr="00162541">
              <w:rPr>
                <w:rFonts w:ascii="Times New Roman" w:hAnsi="Times New Roman" w:cs="Times New Roman"/>
                <w:b/>
                <w:color w:val="000000"/>
              </w:rPr>
              <w:t>міни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62541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D361A" w:rsidRPr="00162541" w:rsidTr="00AD361A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F211A" w:rsidRPr="00162541" w:rsidRDefault="00EF211A" w:rsidP="00405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D361A" w:rsidRPr="00162541" w:rsidTr="00AD361A">
        <w:trPr>
          <w:trHeight w:val="12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25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6254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на придбання </w:t>
            </w:r>
            <w:r w:rsidR="00AB1596">
              <w:rPr>
                <w:rFonts w:ascii="Times New Roman" w:hAnsi="Times New Roman" w:cs="Times New Roman"/>
                <w:color w:val="000000"/>
                <w:lang w:eastAsia="ru-RU"/>
              </w:rPr>
              <w:t>приміщення майстерні ЦТП-98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2F7641" w:rsidRPr="00162541" w:rsidRDefault="009A7FEE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506,880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7641" w:rsidRPr="00162541" w:rsidRDefault="009A7FEE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506,880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2F7641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F7641" w:rsidRPr="00162541" w:rsidRDefault="00AB1596" w:rsidP="00AB1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Додано новий захід</w:t>
            </w:r>
          </w:p>
        </w:tc>
      </w:tr>
      <w:tr w:rsidR="00AD361A" w:rsidRPr="001C1E53" w:rsidTr="00AD361A">
        <w:trPr>
          <w:trHeight w:val="373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C1E53">
              <w:rPr>
                <w:rFonts w:ascii="Times New Roman" w:hAnsi="Times New Roman" w:cs="Times New Roman"/>
                <w:color w:val="000000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2 043,9</w:t>
            </w:r>
            <w:r w:rsidR="00303C0F">
              <w:rPr>
                <w:rFonts w:ascii="Times New Roman" w:hAnsi="Times New Roman" w:cs="Times New Roman"/>
                <w:color w:val="000000"/>
              </w:rPr>
              <w:t>42</w:t>
            </w:r>
          </w:p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2 400,000</w:t>
            </w:r>
          </w:p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-356,058</w:t>
            </w:r>
          </w:p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 xml:space="preserve">Додано суму                         2400,00 тис. грн на поповнення обігових коштів для оплати за спожиту теплову енергію </w:t>
            </w:r>
            <w:r w:rsidR="005C333B">
              <w:rPr>
                <w:rFonts w:ascii="Times New Roman" w:hAnsi="Times New Roman" w:cs="Times New Roman"/>
                <w:color w:val="000000"/>
              </w:rPr>
              <w:t>перед</w:t>
            </w:r>
            <w:r w:rsidRPr="001C1E53">
              <w:rPr>
                <w:rFonts w:ascii="Times New Roman" w:hAnsi="Times New Roman" w:cs="Times New Roman"/>
                <w:color w:val="000000"/>
              </w:rPr>
              <w:t xml:space="preserve"> ПАТ «КВБЗ» та зменшено на суму                      356,058 тис. грн, так як переспрямовано </w:t>
            </w:r>
            <w:r w:rsidR="005C333B">
              <w:rPr>
                <w:rFonts w:ascii="Times New Roman" w:hAnsi="Times New Roman" w:cs="Times New Roman"/>
                <w:color w:val="000000"/>
              </w:rPr>
              <w:t xml:space="preserve">кошти </w:t>
            </w:r>
            <w:r w:rsidRPr="001C1E53">
              <w:rPr>
                <w:rFonts w:ascii="Times New Roman" w:hAnsi="Times New Roman" w:cs="Times New Roman"/>
                <w:color w:val="000000"/>
              </w:rPr>
              <w:t>на виконання зобов’язань з реструктуризації заборгованості за природний газ (місцева гарантія)</w:t>
            </w:r>
            <w:bookmarkStart w:id="0" w:name="_GoBack"/>
            <w:bookmarkEnd w:id="0"/>
          </w:p>
        </w:tc>
      </w:tr>
      <w:tr w:rsidR="00AD361A" w:rsidRPr="001C1E53" w:rsidTr="00AD361A">
        <w:trPr>
          <w:trHeight w:val="258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C1E5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Внески до статутного капіталу </w:t>
            </w:r>
            <w:r w:rsidR="005C333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</w:t>
            </w:r>
            <w:r w:rsidRPr="001C1E53">
              <w:rPr>
                <w:rFonts w:ascii="Times New Roman" w:hAnsi="Times New Roman" w:cs="Times New Roman"/>
                <w:color w:val="000000"/>
                <w:lang w:eastAsia="ru-RU"/>
              </w:rPr>
              <w:t>КП «Теплоенерго» на заміну (реконструкцію) мереж централізованого теплопостачання та гарячого водопостачання    м. Кременчука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-2400,000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-2 400,000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 xml:space="preserve">Зменшено, так як переспрямовано кошти на оплату за спожиту теплову енергію </w:t>
            </w:r>
            <w:r w:rsidR="005C333B">
              <w:rPr>
                <w:rFonts w:ascii="Times New Roman" w:hAnsi="Times New Roman" w:cs="Times New Roman"/>
                <w:color w:val="000000"/>
              </w:rPr>
              <w:t>перед</w:t>
            </w:r>
            <w:r w:rsidRPr="001C1E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C333B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1C1E53">
              <w:rPr>
                <w:rFonts w:ascii="Times New Roman" w:hAnsi="Times New Roman" w:cs="Times New Roman"/>
                <w:color w:val="000000"/>
              </w:rPr>
              <w:t>ПАТ «КВБЗ»</w:t>
            </w:r>
          </w:p>
        </w:tc>
      </w:tr>
      <w:tr w:rsidR="001C1E53" w:rsidRPr="001C1E53" w:rsidTr="00AD361A">
        <w:trPr>
          <w:trHeight w:val="42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C1E53">
              <w:rPr>
                <w:rFonts w:ascii="Times New Roman" w:hAnsi="Times New Roman" w:cs="Times New Roman"/>
                <w:color w:val="000000"/>
              </w:rPr>
              <w:t>Всього: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150,822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150,822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C1E53" w:rsidRPr="001C1E53" w:rsidRDefault="001C1E53" w:rsidP="001C1E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B44EC" w:rsidRPr="00162541" w:rsidRDefault="00FB44EC" w:rsidP="001C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lastRenderedPageBreak/>
        <w:t>В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EF211A" w:rsidRPr="00162541" w:rsidRDefault="00EF211A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254D" w:rsidRPr="00162541" w:rsidRDefault="00C8254D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b/>
        </w:rPr>
      </w:pPr>
    </w:p>
    <w:p w:rsidR="00504B65" w:rsidRPr="004432DD" w:rsidRDefault="00762258" w:rsidP="00162541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b/>
          <w:sz w:val="28"/>
          <w:szCs w:val="28"/>
        </w:rPr>
        <w:t>Д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 xml:space="preserve"> КП «Теплоенерго»</w:t>
      </w:r>
      <w:r w:rsidR="00894175" w:rsidRPr="001625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34D3"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504" w:rsidRPr="0016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4D3" w:rsidRPr="0016254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F211A" w:rsidRPr="0016254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62541">
        <w:rPr>
          <w:rFonts w:ascii="Times New Roman" w:hAnsi="Times New Roman" w:cs="Times New Roman"/>
          <w:b/>
          <w:sz w:val="28"/>
          <w:szCs w:val="28"/>
        </w:rPr>
        <w:t xml:space="preserve">          В. ОДНОШЕВНИЙ</w:t>
      </w:r>
      <w:r w:rsidR="004432DD" w:rsidRPr="0016254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04B65" w:rsidRPr="004432D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504B65" w:rsidRPr="004432DD" w:rsidSect="001C1E5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EAE"/>
    <w:multiLevelType w:val="hybridMultilevel"/>
    <w:tmpl w:val="0F547ED2"/>
    <w:lvl w:ilvl="0" w:tplc="368851BC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EF42E1"/>
    <w:multiLevelType w:val="hybridMultilevel"/>
    <w:tmpl w:val="F864A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9E7"/>
    <w:multiLevelType w:val="hybridMultilevel"/>
    <w:tmpl w:val="640EEEF4"/>
    <w:lvl w:ilvl="0" w:tplc="EAC41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6041"/>
    <w:multiLevelType w:val="hybridMultilevel"/>
    <w:tmpl w:val="F86029E0"/>
    <w:lvl w:ilvl="0" w:tplc="98EAA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1D38F7"/>
    <w:multiLevelType w:val="hybridMultilevel"/>
    <w:tmpl w:val="8BCC8974"/>
    <w:lvl w:ilvl="0" w:tplc="2F4AAEB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2AD0747"/>
    <w:multiLevelType w:val="hybridMultilevel"/>
    <w:tmpl w:val="FF32E98E"/>
    <w:lvl w:ilvl="0" w:tplc="8072FE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72D7F58"/>
    <w:multiLevelType w:val="multilevel"/>
    <w:tmpl w:val="5076390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8" w15:restartNumberingAfterBreak="0">
    <w:nsid w:val="70221D87"/>
    <w:multiLevelType w:val="hybridMultilevel"/>
    <w:tmpl w:val="BFC47124"/>
    <w:lvl w:ilvl="0" w:tplc="368851BC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5A2789"/>
    <w:multiLevelType w:val="hybridMultilevel"/>
    <w:tmpl w:val="B942C44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07"/>
    <w:rsid w:val="000003FC"/>
    <w:rsid w:val="00012DA5"/>
    <w:rsid w:val="00014712"/>
    <w:rsid w:val="00023C77"/>
    <w:rsid w:val="00023EF2"/>
    <w:rsid w:val="000436BA"/>
    <w:rsid w:val="00053655"/>
    <w:rsid w:val="000561AB"/>
    <w:rsid w:val="00056665"/>
    <w:rsid w:val="000629A4"/>
    <w:rsid w:val="00086800"/>
    <w:rsid w:val="00096547"/>
    <w:rsid w:val="000972A7"/>
    <w:rsid w:val="000A15C0"/>
    <w:rsid w:val="000B203D"/>
    <w:rsid w:val="000E2239"/>
    <w:rsid w:val="00101772"/>
    <w:rsid w:val="00103AF5"/>
    <w:rsid w:val="00117A33"/>
    <w:rsid w:val="00132081"/>
    <w:rsid w:val="00143E4C"/>
    <w:rsid w:val="00151766"/>
    <w:rsid w:val="00151A0F"/>
    <w:rsid w:val="0016185F"/>
    <w:rsid w:val="00162541"/>
    <w:rsid w:val="00165E69"/>
    <w:rsid w:val="0017705C"/>
    <w:rsid w:val="00180B26"/>
    <w:rsid w:val="00182964"/>
    <w:rsid w:val="00185283"/>
    <w:rsid w:val="001856D0"/>
    <w:rsid w:val="0018579C"/>
    <w:rsid w:val="00194C1A"/>
    <w:rsid w:val="001A0514"/>
    <w:rsid w:val="001A0C67"/>
    <w:rsid w:val="001A4A6B"/>
    <w:rsid w:val="001B0CE9"/>
    <w:rsid w:val="001B6B25"/>
    <w:rsid w:val="001B7204"/>
    <w:rsid w:val="001C1E53"/>
    <w:rsid w:val="001C39A2"/>
    <w:rsid w:val="001C708C"/>
    <w:rsid w:val="001D17F5"/>
    <w:rsid w:val="001F178D"/>
    <w:rsid w:val="001F2930"/>
    <w:rsid w:val="001F5794"/>
    <w:rsid w:val="00207172"/>
    <w:rsid w:val="00213541"/>
    <w:rsid w:val="002241D5"/>
    <w:rsid w:val="0023365E"/>
    <w:rsid w:val="0023422B"/>
    <w:rsid w:val="00241CF7"/>
    <w:rsid w:val="00250A4D"/>
    <w:rsid w:val="00252BF2"/>
    <w:rsid w:val="00255DFA"/>
    <w:rsid w:val="002577C6"/>
    <w:rsid w:val="00261748"/>
    <w:rsid w:val="0026542E"/>
    <w:rsid w:val="00265A7E"/>
    <w:rsid w:val="002738F4"/>
    <w:rsid w:val="0027527D"/>
    <w:rsid w:val="002826D4"/>
    <w:rsid w:val="00291203"/>
    <w:rsid w:val="002919F0"/>
    <w:rsid w:val="00292243"/>
    <w:rsid w:val="002A04DE"/>
    <w:rsid w:val="002A45D8"/>
    <w:rsid w:val="002A5E62"/>
    <w:rsid w:val="002A7716"/>
    <w:rsid w:val="002B3BCF"/>
    <w:rsid w:val="002C7ABE"/>
    <w:rsid w:val="002F2BC1"/>
    <w:rsid w:val="002F4EAB"/>
    <w:rsid w:val="002F7641"/>
    <w:rsid w:val="003021B2"/>
    <w:rsid w:val="00303C0F"/>
    <w:rsid w:val="00303C28"/>
    <w:rsid w:val="00310AB7"/>
    <w:rsid w:val="003168ED"/>
    <w:rsid w:val="00316FC6"/>
    <w:rsid w:val="00331D27"/>
    <w:rsid w:val="00334432"/>
    <w:rsid w:val="0033799F"/>
    <w:rsid w:val="00340282"/>
    <w:rsid w:val="00342F82"/>
    <w:rsid w:val="00347981"/>
    <w:rsid w:val="00382406"/>
    <w:rsid w:val="00385CC9"/>
    <w:rsid w:val="003907FD"/>
    <w:rsid w:val="003A4FE1"/>
    <w:rsid w:val="003B7CC0"/>
    <w:rsid w:val="003D0EB0"/>
    <w:rsid w:val="003D342D"/>
    <w:rsid w:val="003D425E"/>
    <w:rsid w:val="003D4404"/>
    <w:rsid w:val="003E080D"/>
    <w:rsid w:val="003E7F02"/>
    <w:rsid w:val="00405FDE"/>
    <w:rsid w:val="0040638F"/>
    <w:rsid w:val="00407DFA"/>
    <w:rsid w:val="0041263E"/>
    <w:rsid w:val="004378FA"/>
    <w:rsid w:val="004416E0"/>
    <w:rsid w:val="004432DD"/>
    <w:rsid w:val="00447510"/>
    <w:rsid w:val="00453755"/>
    <w:rsid w:val="00481B7A"/>
    <w:rsid w:val="004878CD"/>
    <w:rsid w:val="00490424"/>
    <w:rsid w:val="004A7510"/>
    <w:rsid w:val="004B628B"/>
    <w:rsid w:val="004B7E47"/>
    <w:rsid w:val="004C7A24"/>
    <w:rsid w:val="004D3144"/>
    <w:rsid w:val="004E3387"/>
    <w:rsid w:val="004E6A6B"/>
    <w:rsid w:val="004F05F3"/>
    <w:rsid w:val="004F68E1"/>
    <w:rsid w:val="00504B65"/>
    <w:rsid w:val="005265E7"/>
    <w:rsid w:val="00546EF1"/>
    <w:rsid w:val="00550C91"/>
    <w:rsid w:val="00553788"/>
    <w:rsid w:val="0056064D"/>
    <w:rsid w:val="0056724D"/>
    <w:rsid w:val="00570ABD"/>
    <w:rsid w:val="00580E2B"/>
    <w:rsid w:val="00586F30"/>
    <w:rsid w:val="00587CFA"/>
    <w:rsid w:val="0059760F"/>
    <w:rsid w:val="005A6E15"/>
    <w:rsid w:val="005B2BAE"/>
    <w:rsid w:val="005B5DDA"/>
    <w:rsid w:val="005B7A69"/>
    <w:rsid w:val="005C333B"/>
    <w:rsid w:val="005C4FDE"/>
    <w:rsid w:val="005D11E2"/>
    <w:rsid w:val="005D1CEE"/>
    <w:rsid w:val="005E281F"/>
    <w:rsid w:val="005E7AB8"/>
    <w:rsid w:val="005F289F"/>
    <w:rsid w:val="00602C52"/>
    <w:rsid w:val="006302AB"/>
    <w:rsid w:val="00632F5F"/>
    <w:rsid w:val="0063382D"/>
    <w:rsid w:val="00635449"/>
    <w:rsid w:val="0064461E"/>
    <w:rsid w:val="00652DB8"/>
    <w:rsid w:val="006532D7"/>
    <w:rsid w:val="00655354"/>
    <w:rsid w:val="006558B0"/>
    <w:rsid w:val="00667F13"/>
    <w:rsid w:val="00676120"/>
    <w:rsid w:val="00683629"/>
    <w:rsid w:val="00693704"/>
    <w:rsid w:val="006958CF"/>
    <w:rsid w:val="006B3118"/>
    <w:rsid w:val="006B3FCF"/>
    <w:rsid w:val="006C2AD4"/>
    <w:rsid w:val="006D2BFD"/>
    <w:rsid w:val="006D393C"/>
    <w:rsid w:val="006D7F27"/>
    <w:rsid w:val="006E08B7"/>
    <w:rsid w:val="00700E8A"/>
    <w:rsid w:val="00705681"/>
    <w:rsid w:val="00707533"/>
    <w:rsid w:val="00710652"/>
    <w:rsid w:val="00724AD8"/>
    <w:rsid w:val="00730524"/>
    <w:rsid w:val="007324F9"/>
    <w:rsid w:val="00752B57"/>
    <w:rsid w:val="00761DD4"/>
    <w:rsid w:val="00762258"/>
    <w:rsid w:val="007719B9"/>
    <w:rsid w:val="007818F5"/>
    <w:rsid w:val="0078274F"/>
    <w:rsid w:val="00784525"/>
    <w:rsid w:val="0079785C"/>
    <w:rsid w:val="007A2183"/>
    <w:rsid w:val="007A5108"/>
    <w:rsid w:val="007A71BD"/>
    <w:rsid w:val="007B35C8"/>
    <w:rsid w:val="007D2CA2"/>
    <w:rsid w:val="007E2FF5"/>
    <w:rsid w:val="007E6C4F"/>
    <w:rsid w:val="0080076F"/>
    <w:rsid w:val="00806179"/>
    <w:rsid w:val="0081691D"/>
    <w:rsid w:val="0082675B"/>
    <w:rsid w:val="008439EC"/>
    <w:rsid w:val="00846A3D"/>
    <w:rsid w:val="0089274B"/>
    <w:rsid w:val="00894175"/>
    <w:rsid w:val="00896C83"/>
    <w:rsid w:val="008B4D66"/>
    <w:rsid w:val="008B4E50"/>
    <w:rsid w:val="008B52CB"/>
    <w:rsid w:val="008B5E21"/>
    <w:rsid w:val="008B68FD"/>
    <w:rsid w:val="008B6927"/>
    <w:rsid w:val="008B6A4B"/>
    <w:rsid w:val="008C4908"/>
    <w:rsid w:val="008C5777"/>
    <w:rsid w:val="008D11D1"/>
    <w:rsid w:val="008E4177"/>
    <w:rsid w:val="008F523F"/>
    <w:rsid w:val="00911CE6"/>
    <w:rsid w:val="00920DEF"/>
    <w:rsid w:val="00934856"/>
    <w:rsid w:val="0093515D"/>
    <w:rsid w:val="00946207"/>
    <w:rsid w:val="0095437B"/>
    <w:rsid w:val="009925C4"/>
    <w:rsid w:val="009A7FEE"/>
    <w:rsid w:val="009B0F6C"/>
    <w:rsid w:val="009B1529"/>
    <w:rsid w:val="009B2081"/>
    <w:rsid w:val="009B2A5C"/>
    <w:rsid w:val="009B4EF7"/>
    <w:rsid w:val="009D1952"/>
    <w:rsid w:val="009D50CE"/>
    <w:rsid w:val="009D70AC"/>
    <w:rsid w:val="009E0637"/>
    <w:rsid w:val="00A004DD"/>
    <w:rsid w:val="00A02AE7"/>
    <w:rsid w:val="00A037DD"/>
    <w:rsid w:val="00A065A1"/>
    <w:rsid w:val="00A136DB"/>
    <w:rsid w:val="00A16434"/>
    <w:rsid w:val="00A16B56"/>
    <w:rsid w:val="00A20DAD"/>
    <w:rsid w:val="00A2647B"/>
    <w:rsid w:val="00A351B4"/>
    <w:rsid w:val="00A413A2"/>
    <w:rsid w:val="00A43373"/>
    <w:rsid w:val="00A50D35"/>
    <w:rsid w:val="00A51702"/>
    <w:rsid w:val="00A5363E"/>
    <w:rsid w:val="00A844F9"/>
    <w:rsid w:val="00AA0C1E"/>
    <w:rsid w:val="00AA16B2"/>
    <w:rsid w:val="00AA2277"/>
    <w:rsid w:val="00AB1596"/>
    <w:rsid w:val="00AB2498"/>
    <w:rsid w:val="00AB4B64"/>
    <w:rsid w:val="00AC739C"/>
    <w:rsid w:val="00AD0AEB"/>
    <w:rsid w:val="00AD0F71"/>
    <w:rsid w:val="00AD361A"/>
    <w:rsid w:val="00AD4DEB"/>
    <w:rsid w:val="00AD7228"/>
    <w:rsid w:val="00AD7C79"/>
    <w:rsid w:val="00AE35A2"/>
    <w:rsid w:val="00AF044B"/>
    <w:rsid w:val="00AF29EF"/>
    <w:rsid w:val="00AF2CA1"/>
    <w:rsid w:val="00AF74A3"/>
    <w:rsid w:val="00B01F0D"/>
    <w:rsid w:val="00B067CC"/>
    <w:rsid w:val="00B261FE"/>
    <w:rsid w:val="00B55FF8"/>
    <w:rsid w:val="00B60E4A"/>
    <w:rsid w:val="00B67478"/>
    <w:rsid w:val="00B703DA"/>
    <w:rsid w:val="00B71932"/>
    <w:rsid w:val="00B7556B"/>
    <w:rsid w:val="00B834D3"/>
    <w:rsid w:val="00B92627"/>
    <w:rsid w:val="00B9798F"/>
    <w:rsid w:val="00BA0EB7"/>
    <w:rsid w:val="00BB3FC3"/>
    <w:rsid w:val="00BC05B8"/>
    <w:rsid w:val="00BC2291"/>
    <w:rsid w:val="00BE1B85"/>
    <w:rsid w:val="00BE7675"/>
    <w:rsid w:val="00C0437E"/>
    <w:rsid w:val="00C1034E"/>
    <w:rsid w:val="00C12ACB"/>
    <w:rsid w:val="00C26FFD"/>
    <w:rsid w:val="00C336AB"/>
    <w:rsid w:val="00C3760E"/>
    <w:rsid w:val="00C54FC0"/>
    <w:rsid w:val="00C61BE9"/>
    <w:rsid w:val="00C66323"/>
    <w:rsid w:val="00C73673"/>
    <w:rsid w:val="00C7408E"/>
    <w:rsid w:val="00C80BAA"/>
    <w:rsid w:val="00C8254D"/>
    <w:rsid w:val="00C8589C"/>
    <w:rsid w:val="00CA17F4"/>
    <w:rsid w:val="00CA1EAE"/>
    <w:rsid w:val="00CA7158"/>
    <w:rsid w:val="00CB6311"/>
    <w:rsid w:val="00CB7562"/>
    <w:rsid w:val="00CC44AE"/>
    <w:rsid w:val="00CC5C7C"/>
    <w:rsid w:val="00CD461B"/>
    <w:rsid w:val="00CD59E3"/>
    <w:rsid w:val="00CE542D"/>
    <w:rsid w:val="00CF322E"/>
    <w:rsid w:val="00D0180E"/>
    <w:rsid w:val="00D05792"/>
    <w:rsid w:val="00D05F65"/>
    <w:rsid w:val="00D12026"/>
    <w:rsid w:val="00D150AA"/>
    <w:rsid w:val="00D206F7"/>
    <w:rsid w:val="00D271B8"/>
    <w:rsid w:val="00D44130"/>
    <w:rsid w:val="00D60272"/>
    <w:rsid w:val="00D774B9"/>
    <w:rsid w:val="00D80591"/>
    <w:rsid w:val="00D8088C"/>
    <w:rsid w:val="00D976EE"/>
    <w:rsid w:val="00DA2494"/>
    <w:rsid w:val="00DA2BEA"/>
    <w:rsid w:val="00DB378E"/>
    <w:rsid w:val="00DD0B84"/>
    <w:rsid w:val="00DD35B1"/>
    <w:rsid w:val="00DD496C"/>
    <w:rsid w:val="00DD6149"/>
    <w:rsid w:val="00DE7FB6"/>
    <w:rsid w:val="00DF465D"/>
    <w:rsid w:val="00E07925"/>
    <w:rsid w:val="00E10A2B"/>
    <w:rsid w:val="00E17545"/>
    <w:rsid w:val="00E21AAE"/>
    <w:rsid w:val="00E27480"/>
    <w:rsid w:val="00E27D55"/>
    <w:rsid w:val="00E33736"/>
    <w:rsid w:val="00E35B08"/>
    <w:rsid w:val="00E377DE"/>
    <w:rsid w:val="00E42FF5"/>
    <w:rsid w:val="00E50A1F"/>
    <w:rsid w:val="00E71C48"/>
    <w:rsid w:val="00E724CD"/>
    <w:rsid w:val="00E7341E"/>
    <w:rsid w:val="00E73DFA"/>
    <w:rsid w:val="00E74C82"/>
    <w:rsid w:val="00E7539B"/>
    <w:rsid w:val="00E805F7"/>
    <w:rsid w:val="00E85C07"/>
    <w:rsid w:val="00E85CCA"/>
    <w:rsid w:val="00E90504"/>
    <w:rsid w:val="00E91711"/>
    <w:rsid w:val="00E92E43"/>
    <w:rsid w:val="00EA702C"/>
    <w:rsid w:val="00EB2732"/>
    <w:rsid w:val="00EB2C8D"/>
    <w:rsid w:val="00EB3673"/>
    <w:rsid w:val="00EC38BB"/>
    <w:rsid w:val="00EC76F3"/>
    <w:rsid w:val="00ED5140"/>
    <w:rsid w:val="00ED64D8"/>
    <w:rsid w:val="00EE088F"/>
    <w:rsid w:val="00EE17F6"/>
    <w:rsid w:val="00EE3040"/>
    <w:rsid w:val="00EF211A"/>
    <w:rsid w:val="00F03A58"/>
    <w:rsid w:val="00F0425F"/>
    <w:rsid w:val="00F07392"/>
    <w:rsid w:val="00F218C4"/>
    <w:rsid w:val="00F26C36"/>
    <w:rsid w:val="00F2715B"/>
    <w:rsid w:val="00F35A17"/>
    <w:rsid w:val="00F37ED7"/>
    <w:rsid w:val="00F40918"/>
    <w:rsid w:val="00F42A05"/>
    <w:rsid w:val="00F57942"/>
    <w:rsid w:val="00F602C2"/>
    <w:rsid w:val="00F62A38"/>
    <w:rsid w:val="00F664CB"/>
    <w:rsid w:val="00F70938"/>
    <w:rsid w:val="00F71904"/>
    <w:rsid w:val="00F753EA"/>
    <w:rsid w:val="00F871A6"/>
    <w:rsid w:val="00F924E1"/>
    <w:rsid w:val="00F97706"/>
    <w:rsid w:val="00FA69FA"/>
    <w:rsid w:val="00FB0EC2"/>
    <w:rsid w:val="00FB1650"/>
    <w:rsid w:val="00FB1760"/>
    <w:rsid w:val="00FB1DC2"/>
    <w:rsid w:val="00FB44EC"/>
    <w:rsid w:val="00FC41EF"/>
    <w:rsid w:val="00FD1A6D"/>
    <w:rsid w:val="00FF26B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5E43E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rvts23">
    <w:name w:val="rvts23"/>
    <w:basedOn w:val="a0"/>
    <w:rsid w:val="00B7556B"/>
  </w:style>
  <w:style w:type="character" w:styleId="ab">
    <w:name w:val="Hyperlink"/>
    <w:basedOn w:val="a0"/>
    <w:uiPriority w:val="99"/>
    <w:semiHidden/>
    <w:unhideWhenUsed/>
    <w:rsid w:val="009B0F6C"/>
    <w:rPr>
      <w:color w:val="0000FF"/>
      <w:u w:val="single"/>
    </w:rPr>
  </w:style>
  <w:style w:type="character" w:customStyle="1" w:styleId="rvts15">
    <w:name w:val="rvts15"/>
    <w:basedOn w:val="a0"/>
    <w:rsid w:val="009B0F6C"/>
  </w:style>
  <w:style w:type="paragraph" w:styleId="ac">
    <w:name w:val="Body Text"/>
    <w:basedOn w:val="a"/>
    <w:link w:val="ad"/>
    <w:semiHidden/>
    <w:unhideWhenUsed/>
    <w:rsid w:val="001C1E5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C1E53"/>
    <w:rPr>
      <w:rFonts w:ascii="Times New Roman" w:eastAsia="Times New Roman" w:hAnsi="Times New Roman"/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47FD-F69C-4932-80D8-EBCA2940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TarifAdmin</cp:lastModifiedBy>
  <cp:revision>10</cp:revision>
  <cp:lastPrinted>2020-10-05T08:47:00Z</cp:lastPrinted>
  <dcterms:created xsi:type="dcterms:W3CDTF">2020-10-01T07:20:00Z</dcterms:created>
  <dcterms:modified xsi:type="dcterms:W3CDTF">2020-10-05T08:48:00Z</dcterms:modified>
</cp:coreProperties>
</file>