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FF7" w:rsidRDefault="00654FF7" w:rsidP="00654FF7">
      <w:pPr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Додаток 1</w:t>
      </w:r>
    </w:p>
    <w:p w:rsidR="00654FF7" w:rsidRDefault="00654FF7" w:rsidP="00654FF7">
      <w:pPr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до рішення міської ради</w:t>
      </w:r>
    </w:p>
    <w:p w:rsidR="00654FF7" w:rsidRDefault="00654FF7" w:rsidP="00654FF7">
      <w:pPr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      червня  2020</w:t>
      </w:r>
    </w:p>
    <w:p w:rsidR="00654FF7" w:rsidRDefault="00654FF7" w:rsidP="00654FF7">
      <w:pPr>
        <w:spacing w:after="0" w:line="240" w:lineRule="auto"/>
        <w:ind w:firstLine="5954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ПОЯСНЮВАЛЬНА ЗАПИСКА</w:t>
      </w: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бюджету м.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І квартал 2020  року</w:t>
      </w: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ДОХОДИ</w:t>
      </w:r>
    </w:p>
    <w:p w:rsidR="00654FF7" w:rsidRPr="00654FF7" w:rsidRDefault="00654FF7" w:rsidP="00654FF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казначейської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Полтавської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дохідної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станом на 01.04.2020  (без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трансфертів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387 714,0 тис.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фонду в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сумі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372 605,2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тис.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15 108,8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4FF7" w:rsidRPr="00654FF7" w:rsidRDefault="00654FF7" w:rsidP="00654FF7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</w:t>
      </w:r>
      <w:proofErr w:type="spellStart"/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порівнянні</w:t>
      </w:r>
      <w:proofErr w:type="spellEnd"/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в.п.м</w:t>
      </w:r>
      <w:proofErr w:type="gramStart"/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.р</w:t>
      </w:r>
      <w:proofErr w:type="spellEnd"/>
      <w:proofErr w:type="gram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відбулось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по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загальному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фонду</w:t>
      </w:r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 8,8</w:t>
      </w:r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%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/+/ 30 277,6</w:t>
      </w:r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по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спеціальному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фонду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зниження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10,1%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 /-/ 1 703,8 </w:t>
      </w:r>
      <w:proofErr w:type="spellStart"/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тис.гр</w:t>
      </w:r>
      <w:proofErr w:type="spellEnd"/>
      <w:r w:rsidR="00E31D66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4953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Default="00654FF7" w:rsidP="00654F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Загальний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фонд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Станом на 01.04.2020  до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затвердженому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2 077 928,3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всього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436 470,9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20,9 %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плану.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90,9% (план    480 172,7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             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  без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урахування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трансфертів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1 784 942,7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372 605,2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річного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20,9%,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– 89,5%                                   /-/ 43 608,0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  416 213,2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5781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трансфертах при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292 985,6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63 865,7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21,8%,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99,9% /-/ 93,9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(план  63 959,5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запланованих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розрізі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неподаткових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на:</w:t>
      </w:r>
    </w:p>
    <w:p w:rsidR="00654FF7" w:rsidRPr="00654FF7" w:rsidRDefault="00654FF7" w:rsidP="00654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ічний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план                 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</w:t>
      </w:r>
      <w:proofErr w:type="spellEnd"/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          20,8 %                                 89,3%</w:t>
      </w: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неподаткові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          23,7 %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104,7%</w:t>
      </w:r>
    </w:p>
    <w:p w:rsidR="00654FF7" w:rsidRPr="00654FF7" w:rsidRDefault="00654FF7" w:rsidP="00654FF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6296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Питома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98,2%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365 840,9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неподаткових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1,8%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6 764,3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тис.гривень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tabs>
          <w:tab w:val="left" w:pos="2895"/>
          <w:tab w:val="left" w:pos="5655"/>
          <w:tab w:val="left" w:pos="8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дохідної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є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чотири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питома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97,4%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(372 605,2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tbl>
      <w:tblPr>
        <w:tblW w:w="9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8"/>
        <w:gridCol w:w="2576"/>
        <w:gridCol w:w="1825"/>
      </w:tblGrid>
      <w:tr w:rsidR="00654FF7" w:rsidRPr="00654FF7" w:rsidTr="00970C5A">
        <w:trPr>
          <w:trHeight w:val="1692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Вид платежу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Фактичні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надходження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звітний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період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тис</w:t>
            </w:r>
            <w:proofErr w:type="gram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.г</w:t>
            </w:r>
            <w:proofErr w:type="gram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рн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Питома</w:t>
            </w:r>
            <w:proofErr w:type="spellEnd"/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вага,%</w:t>
            </w:r>
          </w:p>
        </w:tc>
      </w:tr>
      <w:tr w:rsidR="00654FF7" w:rsidRPr="00654FF7" w:rsidTr="00970C5A">
        <w:trPr>
          <w:trHeight w:val="842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податок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збі</w:t>
            </w:r>
            <w:proofErr w:type="gram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доходи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фізичних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осіб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(11010000)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255 408,3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68,5</w:t>
            </w:r>
          </w:p>
        </w:tc>
      </w:tr>
      <w:tr w:rsidR="00654FF7" w:rsidRPr="00654FF7" w:rsidTr="00970C5A">
        <w:trPr>
          <w:trHeight w:val="840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єдиний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податок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(18050000)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38 290,5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10,3</w:t>
            </w:r>
          </w:p>
        </w:tc>
      </w:tr>
      <w:tr w:rsidR="00654FF7" w:rsidRPr="00654FF7" w:rsidTr="00970C5A">
        <w:trPr>
          <w:trHeight w:val="981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tabs>
                <w:tab w:val="left" w:pos="0"/>
                <w:tab w:val="left" w:pos="8907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податок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майно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частині</w:t>
            </w:r>
            <w:proofErr w:type="spellEnd"/>
          </w:p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земельного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податку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(18010500-18010900)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42 038,2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11,3</w:t>
            </w:r>
          </w:p>
        </w:tc>
      </w:tr>
      <w:tr w:rsidR="00654FF7" w:rsidRPr="00654FF7" w:rsidTr="00970C5A">
        <w:trPr>
          <w:trHeight w:val="980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tabs>
                <w:tab w:val="left" w:pos="0"/>
                <w:tab w:val="left" w:pos="893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акцизний</w:t>
            </w:r>
            <w:proofErr w:type="spellEnd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податок</w:t>
            </w:r>
            <w:proofErr w:type="spellEnd"/>
          </w:p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(14040000;14021900;14031900)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27 294,6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7,3</w:t>
            </w:r>
          </w:p>
        </w:tc>
      </w:tr>
      <w:tr w:rsidR="00654FF7" w:rsidRPr="00654FF7" w:rsidTr="00970C5A">
        <w:trPr>
          <w:trHeight w:val="555"/>
        </w:trPr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Разом: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 xml:space="preserve">        </w:t>
            </w:r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363 031,6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54FF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97,4</w:t>
            </w:r>
          </w:p>
        </w:tc>
      </w:tr>
    </w:tbl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  <w:r w:rsidRPr="00654FF7"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  <w:t>Відповідно до ст.78 Бюджетного кодексу України фінансові органи здійснюють прогнозування та аналіз доходів відповідного бюджету за участю органів, що контролюють справляння надходжень до бюджету.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  <w:r w:rsidRPr="00654FF7"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  <w:t>Передумовою і економічними орієнтирами для формування бюджетної політики на 2020 рік, були прогнози основних показників економічного і соціального розвитку міста Кременчука, які передбачені Програмою економічного і соціального розвитку міста Кременчука на 2020 рік.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Процес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формування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місцевого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бюджету на 2020 </w:t>
      </w:r>
      <w:proofErr w:type="spellStart"/>
      <w:proofErr w:type="gram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</w:t>
      </w:r>
      <w:proofErr w:type="gram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ік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було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розпочато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в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листопаді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2019 року,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оскільки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його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необхідно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своєчасно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оприлюднити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та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відповідно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до Бюджетного кодексу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України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затвердити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до 25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грудня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. Для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розрахунку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джерел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доходів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за основу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взяті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фактичні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надходження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за 10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місяців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та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очікувані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показники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за 2019 </w:t>
      </w:r>
      <w:proofErr w:type="spellStart"/>
      <w:proofErr w:type="gram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</w:t>
      </w:r>
      <w:proofErr w:type="gram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ік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, а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також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динаміка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надходжень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за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попередні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 xml:space="preserve"> два роки.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ru-RU" w:bidi="hi-IN"/>
        </w:rPr>
      </w:pP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Arial11" w:hAnsi="Times New Roman" w:cs="Times New Roman"/>
          <w:sz w:val="28"/>
          <w:szCs w:val="28"/>
          <w:lang w:eastAsia="ru-RU" w:bidi="hi-IN"/>
        </w:rPr>
      </w:pP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lastRenderedPageBreak/>
        <w:t>тис</w:t>
      </w:r>
      <w:proofErr w:type="gramStart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.г</w:t>
      </w:r>
      <w:proofErr w:type="gramEnd"/>
      <w:r w:rsidRPr="00654FF7">
        <w:rPr>
          <w:rFonts w:ascii="Times New Roman" w:eastAsia="Arial11" w:hAnsi="Times New Roman" w:cs="Times New Roman"/>
          <w:sz w:val="28"/>
          <w:szCs w:val="28"/>
          <w:lang w:eastAsia="ru-RU" w:bidi="hi-IN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Arial11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Arial11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459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eastAsia="ru-RU" w:bidi="hi-IN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невиконано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бюджету: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доходи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290 745,0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255 408,3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87,8% /-/ 35 336,7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акцизний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16 700,0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11 429,6 тис.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68,4% /-/ 5 270,4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земельного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91,8% /-/ </w:t>
      </w:r>
      <w:r w:rsidR="00E31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3 776,8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45 815,0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42 038,2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єдиному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98,6% /-/559,5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38 850,0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38 290,5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за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інпослуг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93,1% /-/ 166,3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2  400,0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2  233,7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та по </w:t>
      </w:r>
      <w:proofErr w:type="spellStart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інших</w:t>
      </w:r>
      <w:proofErr w:type="spellEnd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платежах </w:t>
      </w:r>
      <w:proofErr w:type="spellStart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загальна</w:t>
      </w:r>
      <w:proofErr w:type="spellEnd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сума </w:t>
      </w:r>
      <w:proofErr w:type="spellStart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недовиконання</w:t>
      </w:r>
      <w:proofErr w:type="spellEnd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склала</w:t>
      </w:r>
      <w:proofErr w:type="spellEnd"/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/-/ </w:t>
      </w:r>
      <w:r w:rsidR="00E31D66">
        <w:rPr>
          <w:rFonts w:ascii="Times New Roman" w:eastAsia="Times New Roman" w:hAnsi="Times New Roman" w:cs="Times New Roman"/>
          <w:spacing w:val="1"/>
          <w:sz w:val="28"/>
          <w:szCs w:val="28"/>
          <w:lang w:val="uk-UA" w:eastAsia="ru-RU"/>
        </w:rPr>
        <w:t xml:space="preserve">                  </w:t>
      </w:r>
      <w:r w:rsidRPr="00654FF7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106,2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Станом на 01.04.2020  в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порівнянні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в.п.м.р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по ПДФО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зросли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на 5,6%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/+/ 13 430,4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Зростання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ПДФО  в 2018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порівняно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2017 роком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склало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/+/ 32,8%; в 2019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порівняно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2018 роком /+/14,1%;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заплановане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2020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ПДФО в 2019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/+/ 23,8%.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1" w:eastAsia="Arial11" w:hAnsi="Times New Roman1" w:cs="Times New Roman1"/>
          <w:sz w:val="28"/>
          <w:szCs w:val="28"/>
          <w:lang w:eastAsia="zh-CN" w:bidi="hi-I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ри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прогнозуванні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надходжень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ПДФО до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місцевого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бюджету м. 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Кременчука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на 2020 </w:t>
      </w:r>
      <w:proofErr w:type="spellStart"/>
      <w:proofErr w:type="gram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р</w:t>
      </w:r>
      <w:proofErr w:type="gram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ік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було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враховано</w:t>
      </w:r>
      <w:proofErr w:type="spellEnd"/>
      <w:r w:rsidRPr="00654FF7">
        <w:rPr>
          <w:rFonts w:ascii="Times New Roman1" w:eastAsia="Arial11" w:hAnsi="Times New Roman1" w:cs="Times New Roman1"/>
          <w:sz w:val="28"/>
          <w:szCs w:val="28"/>
          <w:lang w:eastAsia="zh-CN" w:bidi="hi-IN"/>
        </w:rPr>
        <w:t>:</w:t>
      </w:r>
    </w:p>
    <w:p w:rsidR="00654FF7" w:rsidRPr="00654FF7" w:rsidRDefault="00654FF7" w:rsidP="00654FF7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1" w:eastAsia="Arial11" w:hAnsi="Times New Roman1" w:cs="Times New Roman1"/>
          <w:sz w:val="28"/>
          <w:szCs w:val="28"/>
          <w:lang w:val="uk-UA" w:eastAsia="zh-CN" w:bidi="hi-IN"/>
        </w:rPr>
      </w:pPr>
      <w:r w:rsidRPr="00654FF7">
        <w:rPr>
          <w:rFonts w:ascii="Times New Roman" w:eastAsia="Arial11" w:hAnsi="Times New Roman" w:cs="Times New Roman1"/>
          <w:sz w:val="28"/>
          <w:szCs w:val="28"/>
          <w:lang w:val="uk-UA" w:eastAsia="zh-CN" w:bidi="hi-IN"/>
        </w:rPr>
        <w:t>збільшення розміру мінімальної заробітної плати до рівня 4 723 грн проти 4 173 грн в 2019 році (+13,2%), п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ідвищення з  1 січня 2020 року  </w:t>
      </w:r>
      <w:r w:rsidRPr="00654FF7">
        <w:rPr>
          <w:rFonts w:ascii="Times New Roman" w:eastAsia="Calibri" w:hAnsi="Times New Roman" w:cs="Times New Roman"/>
          <w:sz w:val="28"/>
          <w:lang w:val="uk-UA" w:eastAsia="ru-RU"/>
        </w:rPr>
        <w:t>посадового окладу працівника І тарифного розряду Єдиної тарифної сітки – 2</w:t>
      </w:r>
      <w:r w:rsidRPr="00654FF7">
        <w:rPr>
          <w:rFonts w:ascii="Times New Roman" w:eastAsia="Calibri" w:hAnsi="Times New Roman" w:cs="Times New Roman"/>
          <w:sz w:val="28"/>
          <w:lang w:eastAsia="ru-RU"/>
        </w:rPr>
        <w:t> </w:t>
      </w:r>
      <w:r w:rsidRPr="00654FF7">
        <w:rPr>
          <w:rFonts w:ascii="Times New Roman" w:eastAsia="Calibri" w:hAnsi="Times New Roman" w:cs="Times New Roman"/>
          <w:sz w:val="28"/>
          <w:lang w:val="uk-UA" w:eastAsia="ru-RU"/>
        </w:rPr>
        <w:t>102 грн проти 1 921 грн в 2019 році (+9,4%)</w:t>
      </w:r>
      <w:r w:rsidRPr="00654FF7">
        <w:rPr>
          <w:rFonts w:ascii="Times New Roman1" w:eastAsia="Arial11" w:hAnsi="Times New Roman1" w:cs="Times New Roman1"/>
          <w:sz w:val="28"/>
          <w:szCs w:val="28"/>
          <w:lang w:val="uk-UA" w:eastAsia="zh-CN" w:bidi="hi-IN"/>
        </w:rPr>
        <w:t>;</w:t>
      </w:r>
    </w:p>
    <w:p w:rsidR="00654FF7" w:rsidRPr="00654FF7" w:rsidRDefault="00654FF7" w:rsidP="00654FF7">
      <w:pPr>
        <w:pStyle w:val="a9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прожиткового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мінімуму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одну особу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працездатних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 01.01.2020 - 2 102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з 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2 197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з 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2 270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459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proofErr w:type="gram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Враховано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інформацію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управління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економіки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виконавчого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комітету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Кременчуцької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Полтавської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економічних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показників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діяльності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великих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платників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податків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у 2019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році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, </w:t>
      </w:r>
      <w:proofErr w:type="spellStart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>їх</w:t>
      </w:r>
      <w:proofErr w:type="spellEnd"/>
      <w:r w:rsidRPr="00654FF7">
        <w:rPr>
          <w:rFonts w:ascii="Times New Roman" w:eastAsia="Arial11" w:hAnsi="Times New Roman" w:cs="Times New Roman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стабільну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роботу у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збільшення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обсягів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виробництва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більшості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них. </w:t>
      </w:r>
      <w:proofErr w:type="gramEnd"/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Програмою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економічного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</w:t>
      </w:r>
      <w:proofErr w:type="gram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іального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розвитку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2020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рік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передбачається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заробітних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плат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ПАТ «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Крюківський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вагонобудівний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завод»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11,2%;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Малокохнівський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кар’єр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10,0% та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збільшення кількості штатних працівників;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ПрАТ «Кременчуцький завод технічного вуглецю»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0,7% та збільшення кількості штатних працівників;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ПрАТ «Кременчуцький завод дорожніх машин»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13,2%;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                          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ПрАТ «Кременчуцький колісний завод» - на 10,0%;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Крюківський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кар’єр» «ЦУП» ПАТ «Укрзалізниця» - на 20,0% та збільшення кількості штатних працівників;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АТ Кременчуцьке кар’єроуправління «КВАРЦ» - на 14,3%;                     ПрАТ «КВТФ «КРЕМТЕКС» - на 15,4%, збільшення кількості штатних працівників; ТОВ «Кременчуцький хлібокомбінат» - на 4,4%; на                           ПрАТ «Кременчуцький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міськмолокозавод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також передбачається зростання заробітної плати.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Arial11" w:hAnsi="Times New Roman" w:cs="Times New Roman"/>
          <w:sz w:val="28"/>
          <w:szCs w:val="28"/>
          <w:lang w:val="uk-UA" w:eastAsia="zh-CN" w:bidi="hi-IN"/>
        </w:rPr>
      </w:pPr>
      <w:r w:rsidRPr="00654FF7">
        <w:rPr>
          <w:rFonts w:ascii="Times New Roman" w:eastAsia="Arial11" w:hAnsi="Times New Roman" w:cs="Times New Roman"/>
          <w:sz w:val="28"/>
          <w:szCs w:val="28"/>
          <w:lang w:val="uk-UA" w:eastAsia="zh-CN" w:bidi="hi-IN"/>
        </w:rPr>
        <w:t>Передбачено  вжиття комплексу заходів з погашення заборгованості із виплати заробітної плати та активізація роботи щодо легалізації виплати заробітної плати, шляхом здійснення контролю за діяльністю суб’єктів господарської діяльності, які приховують отримані доходи, виплачують заробітну плату з порушенням вимог податкового законодавства.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Слід зазначити, що січень місяць не був показовим, оскільки було багато святкових днів і підприємства працювали не на повну потужність, більшість підприємств працювало по 12-14 робочих днів. В січні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п.р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. надходження ПДФО склали – 75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012,0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, в лютому 94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053,4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або /+/                                19 041,4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, в той же час в березні місяці – 86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342,9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або менше надходжень лютого місяця на /-/ 7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710,5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Згідно з постановою Кабінету Міністрів України від 11 березня </w:t>
      </w:r>
      <w:r w:rsidR="00E31D66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2020 року №211 «Про запобігання поширенню на території України гострої респіраторної хвороби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COVID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-19, спричиненої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коронавірусом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SARS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-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CoV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-2» у поточному році очікується зменшення надходжень по ПДФО за рахунок зменшення фонду оплати праці у зв’язку із перебуванням працівників у відпустках без збереження заробітної плати  та  виплати зменшеного розміру заробітної плати по причині простоїв на період карантину по підприємствах міста та ФОП, які мають найманих працівників, а також скорочення чисельності працюючих на підприємствах міста Кременчука (в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. звільнення працівників)</w:t>
      </w:r>
      <w:r w:rsidRPr="00654F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та порушення справи про банкрутство по бюджетоутворюючому підприємству.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Також на невиконання плану вплинуло те, що в грудні місяці 2019 року підприємствами було сплачено податок на доходи фізичних осіб у вигляді авансового внеску у сумі 9 000,0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, у тому числі до бюджету міста (60%)  5 400,0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, та які відповідно не надійшли в січні 2020 року.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Станом на 01.03.2020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заборгованість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заробітній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платі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активних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ідприємствах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(статистика)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24 853,1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тому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D05BE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21056,3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 ТОВ НВФ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Вагонмаш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="00E31D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3 498,1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298,7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Згідно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моніторингом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станом на 01.04.2020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очікувана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заборгованість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заробітній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платі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активних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ідприємствах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міста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="000D05BE"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34 869,6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тому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30 053,9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 ТОВ НВФ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Вагонмаш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             4 389,7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 ТОВ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426,0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акцизному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виробленого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ввезеного</w:t>
      </w:r>
      <w:proofErr w:type="spellEnd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>пального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спрогнозувати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обсяги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досить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складно. За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повідомленням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ГУ ДПС  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Полтавській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області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ведення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інформаційних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систем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розміщення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інформаційних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ресурсів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питанню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обсягу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реалізованого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суб'єктами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роздрібної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торгі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вл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відповідній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території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здійснюється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безпосередньо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рівні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ДПС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України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Тому, для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обрахунку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очікуваних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акцизного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виробленого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ввезеного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2020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були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взяті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 основу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очікувані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2019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фактичні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 2018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рік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в 2018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даного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62 054,1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в 2019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58 992,6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4,9%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менше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/-/ 3 061,5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тис.гр</w:t>
      </w:r>
      <w:proofErr w:type="spellEnd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Заплановано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2020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ік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61 500,0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4,2% /+/ 2 507,4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zh-CN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більше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2019 року.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земельного </w:t>
      </w:r>
      <w:proofErr w:type="spellStart"/>
      <w:r w:rsidRPr="00654F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подат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станом на 01.04.2020  в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в.п.м.р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зменшились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9,8%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/-/ 4 580,6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пояснюється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заборгованістю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ПрАТ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АвтоКрАЗ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54FF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сплачуються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зобов’язання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орендній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відсутність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обігових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платнику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порушено справу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банкрутство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надійшло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бюджету земельного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 </w:t>
      </w:r>
      <w:r w:rsidR="000D05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               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2018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169 627,1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2017 року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склало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/+/3,7%;  в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2019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фактичні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склали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0D05B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179 873,6</w:t>
      </w:r>
      <w:r w:rsidRPr="00654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більше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2018 року на  6,0%;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заплановано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2020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ік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185 000,0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що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більше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фактичних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2019 року на  2,9%  /+/ 5 126,4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До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кінця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року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очіку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ється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зменшення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зв’язку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набранням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чинності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Закону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України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від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30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березня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2020 року № 540-IX,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відповідно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якого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не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нараховується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 не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сплачується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період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1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березня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 31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березня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2020 року плата за землю (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земельний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орендна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плата за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земельні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ділянки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державної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комунальної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власності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) за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земельні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ділянки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що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перебувають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власності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користуванні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тому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умовах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оренди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фізичних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юридичних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та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використовуються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ними в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господарській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діяльності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інших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джерелах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доходів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не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планових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показників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значною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мірою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пов’язане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запровадженням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карантинних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заходів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(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єдиний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плата за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оренду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комунального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майна,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адм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інпослуги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тощо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).</w:t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 xml:space="preserve">В 2020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році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порівняно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фактичними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надходженнями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2019 року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зростання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доходної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фонду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бюджету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u w:val="single"/>
          <w:lang w:eastAsia="ru-RU"/>
        </w:rPr>
        <w:t>заплановано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19,0%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/+/284 916,4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у тому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: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пдфо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на 23,8%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245 625,3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майно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частині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земельного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на </w:t>
      </w:r>
      <w:r w:rsidRPr="00654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2,9% /+/ 5 126,4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єдиний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>–</w:t>
      </w: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на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21,9%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30 583,9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акцизний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податок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– на 4,0%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4 314,2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Станом на 01.04.2020 в 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порівнянні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в.п.м.р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надходження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загального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фонду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зросли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8,8%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30 277,6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у тому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числі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по:</w:t>
      </w:r>
    </w:p>
    <w:p w:rsidR="00654FF7" w:rsidRPr="00654FF7" w:rsidRDefault="00654FF7" w:rsidP="00654FF7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ПДФО – на 5,6%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13 430,4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</w:t>
      </w:r>
    </w:p>
    <w:p w:rsidR="00654FF7" w:rsidRPr="00654FF7" w:rsidRDefault="00654FF7" w:rsidP="00654FF7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єдиному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на 9,9% /+/ 3 461,4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; </w:t>
      </w:r>
    </w:p>
    <w:p w:rsidR="00654FF7" w:rsidRPr="00654FF7" w:rsidRDefault="00654FF7" w:rsidP="00654FF7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696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акцизному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реалізації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суб'єктами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роздрібної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торгі</w:t>
      </w:r>
      <w:proofErr w:type="gram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вл</w:t>
      </w:r>
      <w:proofErr w:type="gram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підакцизних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товарів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на 43,8%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/+/ 4 832,3 </w:t>
      </w:r>
      <w:proofErr w:type="spellStart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 </w:t>
      </w: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5743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en-US" w:eastAsia="ru-RU"/>
        </w:rPr>
      </w:pP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Спеціальний фонд</w:t>
      </w: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b/>
          <w:kern w:val="2"/>
          <w:sz w:val="28"/>
          <w:szCs w:val="28"/>
          <w:lang w:val="uk-UA" w:eastAsia="ru-RU"/>
        </w:rPr>
        <w:t>По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b/>
          <w:kern w:val="2"/>
          <w:sz w:val="28"/>
          <w:szCs w:val="28"/>
          <w:lang w:val="uk-UA" w:eastAsia="ru-RU"/>
        </w:rPr>
        <w:t xml:space="preserve">спеціальному фонду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при затвердженому річному  плані  на 2020 рік (без урахування офіційних трансфертів) – 131 877,1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фактично надійшло  15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108,8 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, виконання до річного плану  склало 11,5%; по офіційних трансфертах при плані 23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195,6 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. фактичні надходження відсутні.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Усього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при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ічному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плані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спеціального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фонду 155 072,7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фактично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отримано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15 108,8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9,7% до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річного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плану.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38850" cy="6105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показників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звітну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іального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фонду.</w:t>
      </w:r>
    </w:p>
    <w:p w:rsidR="00E31D66" w:rsidRPr="00654FF7" w:rsidRDefault="00E31D66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тис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</w:p>
    <w:p w:rsidR="00654FF7" w:rsidRPr="00654FF7" w:rsidRDefault="00E31D66" w:rsidP="00E31D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31D66">
        <w:rPr>
          <w:noProof/>
          <w:lang w:eastAsia="ru-RU"/>
        </w:rPr>
        <w:drawing>
          <wp:inline distT="0" distB="0" distL="0" distR="0">
            <wp:extent cx="6115050" cy="5657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66" w:rsidRDefault="00E31D66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наповнення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бюджету.</w:t>
      </w:r>
    </w:p>
    <w:p w:rsidR="00654FF7" w:rsidRPr="00654FF7" w:rsidRDefault="00654FF7" w:rsidP="00654F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інформацією Кременчуцького управління ГУ ДПС у Полтавській області  </w:t>
      </w:r>
      <w:bookmarkStart w:id="0" w:name="__DdeLink__7174_1631937631"/>
      <w:bookmarkStart w:id="1" w:name="__DdeLink__5812_1783710837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січні - березні  2020 року членами групи по легалізації виплати заробітної плати та зайнятості населення м. Кременчука проведено 10 спільних рейдів за результатами яких:  перевірено 207 об'єктів здійснення діяльності.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29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суб’єктів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виявлено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неоформлений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найманий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працівник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відносини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договори з                      42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найманими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працівниками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10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зареєструвалися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приватні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ідприємці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5BE" w:rsidRDefault="000D05BE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zh-CN" w:bidi="hi-IN"/>
        </w:rPr>
      </w:pPr>
    </w:p>
    <w:p w:rsidR="000D05BE" w:rsidRDefault="000D05BE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zh-CN" w:bidi="hi-IN"/>
        </w:rPr>
      </w:pPr>
    </w:p>
    <w:p w:rsidR="000D05BE" w:rsidRDefault="000D05BE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zh-CN" w:bidi="hi-IN"/>
        </w:rPr>
      </w:pP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lastRenderedPageBreak/>
        <w:t xml:space="preserve">За результатами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вжитих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заходів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сплачено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gram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до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бюджету: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2126"/>
      </w:tblGrid>
      <w:tr w:rsidR="00654FF7" w:rsidRPr="00654FF7" w:rsidTr="00970C5A">
        <w:trPr>
          <w:trHeight w:val="643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Назва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податку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,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збору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Сума, </w:t>
            </w:r>
          </w:p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тис</w:t>
            </w:r>
            <w:proofErr w:type="gram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.г</w:t>
            </w:r>
            <w:proofErr w:type="gram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рн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</w:p>
        </w:tc>
      </w:tr>
      <w:tr w:rsidR="00654FF7" w:rsidRPr="00654FF7" w:rsidTr="00970C5A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Податок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gram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на доходи</w:t>
            </w:r>
            <w:proofErr w:type="gram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фізичних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осіб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35,7</w:t>
            </w:r>
          </w:p>
        </w:tc>
      </w:tr>
      <w:tr w:rsidR="00654FF7" w:rsidRPr="00654FF7" w:rsidTr="00970C5A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Єдиний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внесок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на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загальнообов’язкове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державне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proofErr w:type="gram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соц</w:t>
            </w:r>
            <w:proofErr w:type="gram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іальне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 w:bidi="hi-IN"/>
              </w:rPr>
              <w:t>страхування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43,6</w:t>
            </w:r>
          </w:p>
        </w:tc>
      </w:tr>
      <w:tr w:rsidR="00654FF7" w:rsidRPr="00654FF7" w:rsidTr="00970C5A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Військовий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збі</w:t>
            </w:r>
            <w:proofErr w:type="gram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р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3,0</w:t>
            </w:r>
          </w:p>
        </w:tc>
      </w:tr>
      <w:tr w:rsidR="00654FF7" w:rsidRPr="00654FF7" w:rsidTr="00970C5A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Єдиний</w:t>
            </w:r>
            <w:proofErr w:type="spellEnd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податок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FF7" w:rsidRPr="00654FF7" w:rsidRDefault="00654FF7" w:rsidP="00654F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zh-CN" w:bidi="hi-IN"/>
              </w:rPr>
            </w:pPr>
            <w:r w:rsidRPr="00654FF7">
              <w:rPr>
                <w:rFonts w:ascii="Times New Roman" w:eastAsia="Times New Roman" w:hAnsi="Times New Roman" w:cs="Times New Roman"/>
                <w:sz w:val="28"/>
                <w:szCs w:val="28"/>
                <w:lang w:eastAsia="zh-CN" w:bidi="hi-IN"/>
              </w:rPr>
              <w:t>4,7</w:t>
            </w:r>
          </w:p>
        </w:tc>
      </w:tr>
    </w:tbl>
    <w:bookmarkEnd w:id="0"/>
    <w:bookmarkEnd w:id="1"/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авчому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теті Кременчуцької міської ради Полтавської області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3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Заслухано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51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суб'єкта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заслухано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виплати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заробітної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плати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менших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встановлений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законодавством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івень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ФОП та 29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фізичних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підприємців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результатами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рейдів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легалізації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виплати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заробітної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плати.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 Управління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Держпраці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Полтавській області передано інформацію по 1 СГД для вжиття відповідних заходів реагування з питання використання праці  неоформлених найманих працівників.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проводиться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масово-роз’яснювальна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стосовно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недопущення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заборгованості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виплаті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заробітної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плати.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метою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розширення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оподаткування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надходжень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плати за землю проводиться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звірка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авчого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ітет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Кременчуцької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Полтавської області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стосовно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землекористувачів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ділянок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укладених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оренди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відображення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розрахунках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ділянок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знаходяться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власності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оренді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ідприємств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метою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повноти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сплати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акцизного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роздрібного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продажу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підакцизних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товарів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пиво,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тютюнові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 початку року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4FF7" w:rsidRPr="00654FF7" w:rsidRDefault="00654FF7" w:rsidP="00654FF7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співбесід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платниками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і в 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телефонному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звірки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платникі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як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подали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декларації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акцизного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  базою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діючих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ліцензій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роздрібну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торгівлю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напоями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тютюновими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декларацій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акцизного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всіма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винятку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суб’єктами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господарювання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ліцензії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право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роздрібної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торгі</w:t>
      </w:r>
      <w:proofErr w:type="gram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напоями та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тютюновими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виробами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FF7" w:rsidRPr="00654FF7" w:rsidRDefault="00654FF7" w:rsidP="00654FF7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Станом на 01.01.2020 до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місцевого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бюджету  м.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Кременчука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рахується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податкового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боргу  без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врахув</w:t>
      </w:r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ання</w:t>
      </w:r>
      <w:proofErr w:type="spellEnd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банкрутів</w:t>
      </w:r>
      <w:proofErr w:type="spellEnd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 – 25 305,7 </w:t>
      </w:r>
      <w:proofErr w:type="spell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</w:t>
      </w:r>
      <w:proofErr w:type="gram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г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 Станом</w:t>
      </w:r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на 01.04.2020  – 29 843,1 </w:t>
      </w:r>
      <w:proofErr w:type="spell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</w:t>
      </w:r>
      <w:proofErr w:type="gramStart"/>
      <w:r w:rsidR="000D05BE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г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рн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або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сума боргу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збільшилась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 на 17,9%  /+/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                    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4 537,4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тис.гр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н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. 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Протягом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січня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-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березня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2020 року до суду направлено 5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позовних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заяв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щодо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стягнення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боргу на суму –  506,0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0"/>
          <w:lang w:eastAsia="zh-CN" w:bidi="hi-IN"/>
        </w:rPr>
        <w:t xml:space="preserve">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тис</w:t>
      </w:r>
      <w:proofErr w:type="gram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.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 xml:space="preserve"> </w:t>
      </w:r>
      <w:proofErr w:type="spellStart"/>
      <w:proofErr w:type="gram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г</w:t>
      </w:r>
      <w:proofErr w:type="gram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ривень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  <w:t>.</w:t>
      </w:r>
    </w:p>
    <w:p w:rsidR="00E31D66" w:rsidRDefault="00E31D66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ВИДАТКИ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бюджету міста Кременчука на 20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рік були затверджені в обсязі 2 177 005,9 тис. грн, а саме: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видатки загального фонду місцевого бюджету – 1 886 405,2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у тому числі субвенції з державног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 бюджету та обласного бюджету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              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287 052,1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(освітня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субвенція – 279 370,6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інші –7 681,5 тис. грн;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видатки спеціального фонду місцевого бюджету – 290 600,6 тис. грн,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(з них субвенція з обласного бюджету – 600,0 тис. грн), кошти, що передаються із загального фонду до бю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джету розвитку – 185 589,6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Видатки на кредитування по спеціальному фонду були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передбачені в сумі 2 797,2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Відповідно до Бюджетного кодексу України здійснено горизонтальне вирівнювання податкоспроможності місцевого бюджету. Враховуючи вищезазначене, визначена реверсна дотація до Державного бюджету у сумі 134 176,4 тис. грн.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Протягом І кварталу поточного року видатки загального фонду  бул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збільшені на 2 694,7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за рахунок виділення коштів із залишків бюджетних коштів станом на 01.01.2020 – 350,0 тис. грн,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за рахунок внесення змін до д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оходів бюджету – 137,4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за рахунок виділення трансфертів з державного бюджету –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5 796,1 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за рахунок збільшення передачі із загального до сп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еціального фонду – 3 588,8 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Затверджені видатки спеціального фонду були збільшені на                    84 764,9 тис. грн, в </w:t>
      </w:r>
      <w:proofErr w:type="spellStart"/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.: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за рахунок виділення коштів із залишків бюджетних коштів стано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на 01.01.2020 – 22 572,1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за рахунок внесення змін до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доходів бюджету – 36 008,4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за рахунок виділення трансфертів з державного бюджету –            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22 595,6 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за рахунок збільшення передачі із загального до сп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еціального фонду – 3 588,8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на кредитування по спеціальному фонду були збільшені на               57,2 тис. грн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склали 2 854,4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Таким чином, затверджені видатки місцевого бюджету міста Кременчука на 2020 рік з урахуванням внесених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змін складають 2 264 465,5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 тому числі:</w:t>
      </w: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видатки загального фонду місцевого бюджету затвердже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ні в сумі 1 889 099,9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видатки спеціального фонду місцевого бюджету за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тверджені в сумі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375 365,6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 тому числі б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юджет розвитку – 296 123,7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 них кошти, що передаються із загального фонду до бюджету розвитку –        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204 867,0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Кошторисні призначення бюджетних установ також були збільшені за рахунок збільшення власних надходжень бюджетних установ спеціального фонду. </w:t>
      </w: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Обсяг видатків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загального фонду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місцевого бюджету на І квартал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2020  року пер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едбачений в сумі 448 004,8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., касові видатки склали                         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410 364,2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складає 91,6% (касові видатки взяті зі звіту, наданого управлінням державної казначейської служби України у м. Кременчук Полтавської області).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Структура виконання видатків бюджету м. Кременчука за І квартал 20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року по основним галузям представлена у вигляді діаграми. 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15050" cy="5686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BE" w:rsidRDefault="000D05BE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Реверсна дотація передбаче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на рік в сумі 134 176,4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                          За І квартал було вилучено 33 544,2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ис.грн</w:t>
      </w:r>
      <w:proofErr w:type="spellEnd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плані 33 544,2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тобто 100,0%.</w:t>
      </w: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Витрати за рахунок коштів резервного фонду місцевого бюджету станом на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01.04.2020 склали 2 350,1 </w:t>
      </w:r>
      <w:proofErr w:type="spellStart"/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44EE6" w:rsidRPr="00844EE6" w:rsidRDefault="00844EE6" w:rsidP="00844EE6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sz w:val="28"/>
          <w:szCs w:val="28"/>
          <w:lang w:val="uk-UA"/>
        </w:rPr>
        <w:t>Видатки загального фонду на оплату праці і нарахування на заробітну плату працівникам бюджетної сфери (з урахуванням видатків згідно з планами використання по галузі «Охорона здоров’я») за І квартал 2020 року склали             216 969,7 тис. грн при планових призначеннях 222 533,5 тис. грн, що складає 97,5%. Питома вага видатків на заробітну плату з нарахуваннями в загальних видатках склала 52,9%.</w:t>
      </w:r>
    </w:p>
    <w:p w:rsidR="00844EE6" w:rsidRPr="00844EE6" w:rsidRDefault="00844EE6" w:rsidP="00844E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sz w:val="28"/>
          <w:szCs w:val="28"/>
          <w:lang w:val="uk-UA"/>
        </w:rPr>
        <w:t>Видатки на медикаменти (з урахуванням видатків згідно з планами використання по галузі «Охорона здоров’я») при плані на І квартал 2019 року  5 420,7 тис. грн склали 4 891,2 тис. грн, що становить 90,2%. Питома вага від загальних витрат загального фонду 1,2%.</w:t>
      </w:r>
    </w:p>
    <w:p w:rsidR="00844EE6" w:rsidRPr="00844EE6" w:rsidRDefault="00844EE6" w:rsidP="00844E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sz w:val="28"/>
          <w:szCs w:val="28"/>
          <w:lang w:val="uk-UA"/>
        </w:rPr>
        <w:t xml:space="preserve">Видатки на продукти харчування (з урахуванням видатків згідно з планами використання по галузі «Охорона здоров’я») при плані               13 612,8 тис. грн,  склали 9 934,1 тис. грн, що становить 73,0%. Питома вага від загальних витрат загального фонду 2,4%. </w:t>
      </w:r>
    </w:p>
    <w:p w:rsidR="00844EE6" w:rsidRPr="00844EE6" w:rsidRDefault="00844EE6" w:rsidP="00844E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bCs/>
          <w:sz w:val="28"/>
          <w:szCs w:val="28"/>
          <w:lang w:val="uk-UA"/>
        </w:rPr>
        <w:t>Видатки загального фонду на оплату комунальних послуг та енергоносіїв  (з урахуванням видатків згідно з планами використання по галузі «Охорона здоров’я»)</w:t>
      </w:r>
      <w:r w:rsidRPr="00844EE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844E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при плані на І квартал поточного року 35 365,1 тис. грн склали 28 096,3 тис. грн, що становить 79,4%. Питома вага від загальних витрат загального фонду – 6,8%. </w:t>
      </w:r>
    </w:p>
    <w:p w:rsidR="00844EE6" w:rsidRPr="00844EE6" w:rsidRDefault="00844EE6" w:rsidP="00844EE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4EE6">
        <w:rPr>
          <w:rFonts w:ascii="Times New Roman" w:hAnsi="Times New Roman" w:cs="Times New Roman"/>
          <w:sz w:val="28"/>
          <w:szCs w:val="28"/>
          <w:lang w:val="uk-UA"/>
        </w:rPr>
        <w:t>Поточні трансферти на соціальне забезпечення при плані                                    15 027,9 тис. грн. склали 13 992,2 тис. грн, відповідно 93,1% та 3,4% від загальних витрат.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Станом на 01.04.2020, в зв’язку з невиконання доходної частини місцевого бюджету, виникла кредиторська заборгованість по загальному фонду в сумі 58 168,0 тис. грн,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.: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оплата праці і нарахування на заробітну плату – 3 253,6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предмети, матеріали, обладнання та інвентар – 6 367,8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медикаменти та перев’язувальні матеріали – 9,8 тис. грн;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продукти харчування – 3 749,8 тис. грн;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оплата послуг (крім комунальних) – 5 131,0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на відрядження – 251,3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оплата комунальних послуг та енергоносіїв – 15 951,8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дослідження і розробки, окремі заходи по реалізації державних (регіональних) програм – 689,7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субсидії та поточні трансферти підприємствам (установам, організаціям) – 19 808,5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інші виплати населенню – 2 881,5 тис. грн,</w:t>
      </w:r>
    </w:p>
    <w:p w:rsidR="00654FF7" w:rsidRPr="00654FF7" w:rsidRDefault="00654FF7" w:rsidP="00D61723">
      <w:pPr>
        <w:numPr>
          <w:ilvl w:val="0"/>
          <w:numId w:val="1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інші поточні видатки – 73,2 тис. грн.</w:t>
      </w: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Касові видатки по 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спеціальному фонду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І квартал 2020 року склали 44 336,8 тис. грн, при  уточнених річних обсягах кошторисних призначень – 363 322,0 тис. грн,  що складає 12,2%.</w:t>
      </w:r>
    </w:p>
    <w:p w:rsidR="00654FF7" w:rsidRPr="00654FF7" w:rsidRDefault="00654FF7" w:rsidP="00654FF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оплату праці і нарахування на заробітну плату направлено                   1 276,9 тис. грн (заробітна плата працівників, які надають платні послуги в бюджетних установах відповідно до законодавства). На придбання продуктів харчування витрачено 3 968,5 тис. грн, оплату комунальних послуг та енергоносіїв – 355,1 тис. грн.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Капітальні видатки спеціального фонду бюджету заплановані на рік з ураху</w:t>
      </w:r>
      <w:bookmarkStart w:id="2" w:name="_GoBack"/>
      <w:bookmarkEnd w:id="2"/>
      <w:r w:rsidRPr="00654FF7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ванням змін в сумі 296 081,1 тис. грн,  в тому числі бюджет розвитку – 295 256,7 тис. грн. Касові видатки за звітний період склали 36 826,7 тис. грн, тобто 12,4%.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tabs>
          <w:tab w:val="num" w:pos="126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надання пільг населенню (крім ветеранів війни і праці, військової служби, органів внутрішніх справ та громадян, які постраждали внаслідок Чорнобильської катастрофи) на оплату житлово-комунальних послуг (інваліди по зору, почесні громадяни міста, сім’ї загиблих воїнів-афганців,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пільги учасникам АТО та членам їх сімей на послуги з утримання будинків і споруд та прибудинкових територій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в місцевому бюджеті на 2020 рік  передбачено асигнування в сумі 1 700,0  тис. грн.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Касові видатки за І квартал поточного року склали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40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0,0 тис. грн (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2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3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,5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% запланованих річних асигнувань та 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66,6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% плану на звітний період).</w:t>
      </w:r>
    </w:p>
    <w:p w:rsidR="00654FF7" w:rsidRPr="00654FF7" w:rsidRDefault="00654FF7" w:rsidP="00654FF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із місцевого бюджету на житлово-комунальне господарство на 20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рік визначено в сумі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223 031,8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 (з них загальний фонд (видатки споживання) – 17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009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грн, спеціальний фонд (бюджет розвитку) –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46 022,7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грн). Видатки на житлово-комунальне господарство розподіляються таким чином: утримання та ефективна експлуатація об’єктів житлово-комунального господарства – 19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155,1 тис. грн, забезпечення функціонування підприємств, установ та організацій, що виробляють, виконують та/або надають житлово-комунальні послуги – 43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135,2 тис. грн, організація благоустрою населених пунктів – 126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214,5 тис. грн, реалізація державних та місцевих житлових програм – 2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250,8 тис. грн,  інша діяльність у сфері житлово-комунального  господарства –  32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276,2 тис. грн.</w:t>
      </w:r>
    </w:p>
    <w:p w:rsidR="00654FF7" w:rsidRPr="00654FF7" w:rsidRDefault="00654FF7" w:rsidP="00654FF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Касові видатки на житлово-комунальне господарство в І кварталі                  2020 року склали 42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269,1 тис. грн (18,9 % запланованих річних асигнувань та  39,7% асигнувань на І квартал 2020 року), в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т.ч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утримання та ефективна експлуатація об’єктів житлово-комунального господарства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1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066,0 тис. грн, забезпечення функціонування підприємств, установ та організацій, що виробляють, виконують та/або надають житлово-комунальні послуги –                   5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383,4 тис. грн., благоустрій міста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26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110,2 тис. грн;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реалізація державних та місцевих житлових програм – 7,2 тис. грн, інша діяльність у сфері житлово-комунального господарства –   7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400,3 тис. грн.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На заходи щодо виконання міської програми «Програма реалізації Основних напрямів земельної реформи на 2020 р. в м.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Кременчуці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передбачені асигнування в сумі 415,0 тис. грн. Касові видатки за І квартал 2020 року склали 196,8 тис. грн, що складає 47,4% річного плану та 100,0% плану на звітний період.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утримання та розвиток автотранспорту на  2020 рік передбачені видатки в сумі  9 263,6 тис. грн. Касові видатки за І квартал 2020 року  склали  97,6 тис. грн, що складає 1,1% до запланованих річних асигнувань та 100,0% плану на звітний період. 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утримання та розвиток наземного електротранспорту на  2020 рік передбачені видатки в сумі  67 822,3 тис. грн. Касові видатки за І квартал              2020 року  склали  20 308,7 тис. грн (29,9 % запланованих річних асигнувань та 99,7% плану на звітний період).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утримання та розвиток автомобільних доріг та дорожньої інфраструктури на 2020 рік передбачено асигнування в сумі 111 707,9 тис. грн. Касові видатки в І кварталі 2020 року склали  18 492,7 тис. грн, що складає 16,6% річного плану та 83,4% плану на звітний період.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сприяння розвитку малого та середнього підприємництва в місцевому бюджеті на 2020 рік відповідно до міської програми «Програма розвитку малого підприємництва у м.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Кременчуці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2018-2020 роки» передбачено асигнування в сумі 300,0 тис. грн. Касові видатки за звітний період склали </w:t>
      </w:r>
      <w:r w:rsidR="000D05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42,5 тис. грн, що складає 14,2% річного плану та 88,3% плану на звітний період. 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На заходи з енергозбереження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передбачено асигнування в сумі                     </w:t>
      </w:r>
      <w:r w:rsidRPr="00654FF7">
        <w:rPr>
          <w:rFonts w:ascii="Times New Roman" w:eastAsia="Times New Roman" w:hAnsi="Times New Roman" w:cs="Times New Roman"/>
          <w:sz w:val="28"/>
          <w:szCs w:val="28"/>
          <w:lang w:eastAsia="ru-RU"/>
        </w:rPr>
        <w:t>19 834,3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грн, з них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на виконання: 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- «Програми стимулювання впровадження енергозберігаючих заходів у будинках об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єднань співвласників багатоквартирних будинків та житлово - будівельних кооперативів м. Кременчука на 2015-2020 роки», а саме компенсацію (відшкодування)  відсоткової ставки у розмірі до 15% річних за залученими в кредитно-фінансових установах кредитами, що надаються юридичним особам на впровадження енергозберігаючих технологій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                      1 100,0 тис. грн,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- «Програми стимулювання впровадження енергозберігаючих заходів населенням міста Кременчука на 2016-2020 роки», а саме </w:t>
      </w:r>
      <w:r w:rsidRPr="00654FF7">
        <w:rPr>
          <w:rFonts w:ascii="Times New Roman" w:eastAsia="Calibri" w:hAnsi="Times New Roman" w:cs="Times New Roman"/>
          <w:sz w:val="20"/>
          <w:szCs w:val="20"/>
          <w:lang w:val="uk-UA"/>
        </w:rPr>
        <w:t xml:space="preserve">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компенсацію (відшкодування) відсотків за кредитами населення»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180,0 тис. грн. 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- за рахунок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залучення зовнішнього запозичення до місцевого бюджету шляхом отримання кредиту від</w:t>
      </w:r>
      <w:r w:rsidRPr="00654F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Північної Екологічної Фінансової Корпорації (НЕФКО) в сумі 13 000,0 тис. грн </w:t>
      </w:r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передбачається реалізація </w:t>
      </w:r>
      <w:proofErr w:type="spellStart"/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Підвищення енергоефективності системи вуличного освітлення                                     м. Кременчука»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 шляхом</w:t>
      </w:r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проведення робіт з реконструкції системи вуличного освітлення на 11-х вулицях, які розташовані в різних частинах міста. 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- на </w:t>
      </w:r>
      <w:proofErr w:type="spellStart"/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співфінансування</w:t>
      </w:r>
      <w:proofErr w:type="spellEnd"/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Підвищення енергоефективності системи вуличного освітлення м. Кременчука»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передбачені кошти в сумі  </w:t>
      </w:r>
      <w:r w:rsidR="000D05BE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                              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5 554,3 тис. грн.</w:t>
      </w:r>
    </w:p>
    <w:p w:rsidR="00654FF7" w:rsidRPr="00654FF7" w:rsidRDefault="00654FF7" w:rsidP="00654FF7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Касові видатки в звітному періоді не проводились.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 проведення експертної грошової оцінки земельних ділянок несільськогосподарського призначення, що підлягають продажу в 2020 році, передбачено асигнування в сумі 150,0 тис. грн. Касові видатки в звітному періоді склали 72,6 тис. грн</w:t>
      </w: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(48,4% річного плану та 89,9% плану на звітний період).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Внески Кременчуцької міської ради до статутного капіталу суб’єктів господарювання на 2020 рік визначені в сумі  46 885,3 тис. грн, з них комунальному підприємству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Кременчукводоканал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–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7 029,3</w:t>
      </w:r>
      <w:r w:rsidRPr="00654FF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 грн,                 КП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Теплоенерго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–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17 500,0</w:t>
      </w:r>
      <w:r w:rsidRPr="00654FF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</w:t>
      </w:r>
      <w:r w:rsidRPr="00654FF7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,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«Кременчуцьке тролейбусне управління»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22 356,0 тис. грн.</w:t>
      </w:r>
      <w:r w:rsidRPr="00654FF7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Касові видатки у звітному періоді склали                           14 385,0 тис. грн,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дорівнює 30,7% річного плану та 96,6% плану на звітний період.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підтримки засобів масової інформації (міської телерадіокомпанії) в місцевому бюджеті на 2020 рік передбачено кошти в сумі 17 990,1 тис. грн, касові видатки за звітний період склали  3 297,0 тис. грн (18,3% річного плану та 93,9% плану на звітний період).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будівництво та регіональний розвиток на 2020 рік передбачено асигнування в сумі  101 618,6 тис. грн. Касові видатки за звітний період склали  6 430,4 тис. грн  (6,3% річного плану та 14,3% плану на звітний період).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місцевому бюджеті на 2020 рік</w:t>
      </w: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передбачено надання  пільгових довгострокових кредитів громадянам на будівництво (реконструкцію) та придбання житла в сумі 3 704,4 тис. грн. Касові видатки в звітному періоді не проводились.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Повернення раніше наданих кредитів та відсотків за користування ними при плані 850,0 тис. грн. в звітному періоді склало 1 030,0 тис. грн в зв’язку з достроковим погашенням кредиту , що дорівнює 121,2% річного плану.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Інформація щодо наданих місцевих гарантій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Відповідно до статті VІ Договору про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субкредитування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№28010-02/11  від 27.01.2010 між Міністерством фінансів України, Міністерством з питань житлово - комунального господарства України та комунальним підприємством «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Кременчукводоканал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«Про використання сум позики, що надається Україні Міжнародним банком реконструкції та розвитку» (Угода про позику «Проект розвитку міської інфраструктури» №4869-UA від 26.05.2008 року) засобом забезпечення виконання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субпозичальником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своїх зобов’язань є гарантія Кременчуцької міської ради від 21.08.2009 №1, надана Кременчуцькою міською радою Міністерству фінансів України. </w:t>
      </w:r>
    </w:p>
    <w:p w:rsidR="00654FF7" w:rsidRPr="00654FF7" w:rsidRDefault="00654FF7" w:rsidP="00654FF7">
      <w:pPr>
        <w:numPr>
          <w:ilvl w:val="12"/>
          <w:numId w:val="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Загальна сума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субкредиту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відповідно до Додаткової Угоди  від 01 квітня 2016 року № 28010-02/11-3 до Договору про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субкредитування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№28010-02/11   від 27.01.2010 складає 6 528 743,88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дол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США.  У відповідності до графіку погашення основної суми </w:t>
      </w:r>
      <w:proofErr w:type="spellStart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субкредиту</w:t>
      </w:r>
      <w:proofErr w:type="spellEnd"/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останній платіж передбачається                        15 жовтня 2027 року. 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lastRenderedPageBreak/>
        <w:t xml:space="preserve">В 2020 році погашення основної суми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субкредиту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передбачається здійснити двома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платежами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15 квітня та 15 жовтня в загальній сумі                          431 748,26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дол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. США. Сплата відсотків та маржі відповідно до договору буде </w:t>
      </w:r>
      <w:proofErr w:type="spellStart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здійснюватись</w:t>
      </w:r>
      <w:proofErr w:type="spellEnd"/>
      <w:r w:rsidRPr="00654FF7"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 двічі на рік  15 квітня і 15 жовтня 2020 року.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Видатки на виконання наданих місцевих гарантій на 2020 рік визначені в сумі 3 029,3 тис. грн, касові видатки в звітному періоді не проводились.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абезпеченням виконання боргових зобов’язань в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ідповідно до Кредитного договору між комунальним підприємством «Кременчуцьке тролейбусне управління» та Європейським банком реконструкції та розвитку від 21 грудня 2016 року є Договір гарантії, відшкодування та підтримки </w:t>
      </w:r>
      <w:proofErr w:type="spellStart"/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укладений між Кременчуцькою міською радою та Європейським банком реконструкції та розвитку від 29 грудня 2016 року. 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Загальна сума кредиту 8 000,0 тис. євро. Строк кредиту 12 років.</w:t>
      </w:r>
    </w:p>
    <w:p w:rsidR="00654FF7" w:rsidRPr="00654FF7" w:rsidRDefault="00654FF7" w:rsidP="00654FF7">
      <w:pPr>
        <w:tabs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В 2020 році погашення основної суми </w:t>
      </w:r>
      <w:proofErr w:type="spellStart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субкредиту</w:t>
      </w:r>
      <w:proofErr w:type="spellEnd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планується здійснювати двома </w:t>
      </w:r>
      <w:proofErr w:type="spellStart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платежами</w:t>
      </w:r>
      <w:proofErr w:type="spellEnd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10 березня та 10 вересня в загальній сумі  827 ,82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тис. євро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. Сплату відсотків відповідно до договору планується здійснювати двічі на рік </w:t>
      </w:r>
      <w:r w:rsidR="000D05BE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             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10 березня та 10 вересня 2020 року.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Видатки на виконання місцевих гарантій по кредиту ЄБРР на 2020 рік визначені в сумі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36 272,6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тис. грн.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Касові видатки в звітному періоді склали 18 140,3 тис. грн.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В 2020 році планується залучити кредит ЄБРР на виконання </w:t>
      </w:r>
      <w:proofErr w:type="spellStart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«Підвищення енергоефективності громадських будівель у м. Кременчук» в сумі 2 500,0 тис. євро (загальна сума кредиту 7 500,0 тис. євро) під місцеву гарантію.</w:t>
      </w:r>
    </w:p>
    <w:p w:rsidR="00654FF7" w:rsidRPr="00654FF7" w:rsidRDefault="00654FF7" w:rsidP="00654F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Сплату відсотків відповідно до договору планується здійснювати двічі на рік 16 квітня і 16 жовтня 2020 року.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Видатки на виконання місцевих гарантій по кредиту ЄБРР на 2020 рік визначені в сумі 5 584,7 тис. грн.</w:t>
      </w:r>
      <w:r w:rsidRPr="0065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54FF7" w:rsidRPr="00654FF7" w:rsidRDefault="00654FF7" w:rsidP="00654FF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Інформація щодо обслуговування боргу міського бюджету, 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обсягів та умов запозичень 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Запозичення до місцевого бюджету здійснювалось шляхом отримання зовнішнього кредиту по кредитному договору між «Північною екологічною фінансовою корпорацією» (НЕФКО) та Кременчуцькою міською радою,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метою якого є 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фінансування впровадження заходів </w:t>
      </w:r>
      <w:proofErr w:type="spellStart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«Технічне переоснащення та модернізація вуличного освітлення міста Кременчук Полтавської області».                       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Відсоткова ставка за користування кредитними коштами становить 3% річних.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>Погашення кредиту та сплата відсотків по кредиту здійснюється щоквартально 15 березня, 15 червня, 15 вересня та 15 грудня, починаючи                    з 15 вересня 2017 року.</w:t>
      </w:r>
    </w:p>
    <w:p w:rsidR="00654FF7" w:rsidRPr="00654FF7" w:rsidRDefault="00654FF7" w:rsidP="00654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Строк погашення основної суми боргу по запозиченню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–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 15 червня                  2021 року.</w:t>
      </w:r>
    </w:p>
    <w:p w:rsidR="000D05BE" w:rsidRDefault="000D05BE" w:rsidP="00654FF7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54FF7" w:rsidRPr="00654FF7" w:rsidRDefault="00654FF7" w:rsidP="00654FF7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В 2020 році планується продовжити залучення зовнішнього запозичення до місцевого бюджету шляхом отримання кредиту від</w:t>
      </w:r>
      <w:r w:rsidRPr="00654FF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Північної Екологічної Фінансової Корпорації (НЕФКО) в сумі 13 000,0 тис. грн. 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Метою запозичення є фінансування заходів </w:t>
      </w:r>
      <w:proofErr w:type="spellStart"/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проєкту</w:t>
      </w:r>
      <w:proofErr w:type="spellEnd"/>
      <w:r w:rsidRPr="00654FF7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Підвищення енергоефективності системи вуличного освітлення м. Кременчука»,</w:t>
      </w:r>
      <w:r w:rsidRPr="00654FF7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яким передбачається проведення робіт з реконструкції системи вуличного освітлення на 11-х вулицях, які розташовані в різних частинах міста.</w:t>
      </w:r>
    </w:p>
    <w:p w:rsidR="00654FF7" w:rsidRPr="00654FF7" w:rsidRDefault="00654FF7" w:rsidP="00654FF7">
      <w:pPr>
        <w:widowControl w:val="0"/>
        <w:numPr>
          <w:ilvl w:val="12"/>
          <w:numId w:val="0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>Видатки місцевого бюджету м. Кременчука на 2020 рік з обслуговування місцевого боргу (сплата відсотків) заплановано відповідно  графіку платежів в сумі 174,0 тис. грн, касові видатки за І квартал поточного року склали            18,9 тис. грн. Н</w:t>
      </w:r>
      <w:r w:rsidRPr="00654FF7">
        <w:rPr>
          <w:rFonts w:ascii="Times New Roman" w:eastAsia="Calibri" w:hAnsi="Times New Roman" w:cs="Times New Roman"/>
          <w:kern w:val="2"/>
          <w:sz w:val="28"/>
          <w:szCs w:val="28"/>
          <w:lang w:val="uk-UA"/>
        </w:rPr>
        <w:t xml:space="preserve">а погашення основної суми боргу по запозиченню на 2020 рік передбачено 1 660,5 тис. грн, </w:t>
      </w:r>
      <w:r w:rsidRPr="00654F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касові видатки за звітний період склали                               415,1 тис. грн. </w:t>
      </w:r>
    </w:p>
    <w:p w:rsidR="00654FF7" w:rsidRPr="00654FF7" w:rsidRDefault="00654FF7" w:rsidP="00654FF7">
      <w:pPr>
        <w:rPr>
          <w:rFonts w:ascii="Calibri" w:eastAsia="Calibri" w:hAnsi="Calibri" w:cs="Times New Roman"/>
          <w:lang w:val="uk-UA"/>
        </w:rPr>
      </w:pPr>
    </w:p>
    <w:p w:rsidR="00654FF7" w:rsidRPr="00654FF7" w:rsidRDefault="00654FF7" w:rsidP="00654FF7">
      <w:pPr>
        <w:widowControl w:val="0"/>
        <w:tabs>
          <w:tab w:val="left" w:pos="14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Заступник міського голови – </w:t>
      </w: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директор Департаменту фінансів  </w:t>
      </w:r>
    </w:p>
    <w:p w:rsidR="00654FF7" w:rsidRPr="00654FF7" w:rsidRDefault="00654FF7" w:rsidP="00654FF7">
      <w:pPr>
        <w:tabs>
          <w:tab w:val="left" w:pos="694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виконавчого комітету</w:t>
      </w:r>
    </w:p>
    <w:p w:rsidR="00654FF7" w:rsidRPr="00654FF7" w:rsidRDefault="00654FF7" w:rsidP="00654FF7">
      <w:pPr>
        <w:tabs>
          <w:tab w:val="left" w:pos="694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Кременчуцької міської ради</w:t>
      </w:r>
    </w:p>
    <w:p w:rsidR="00654FF7" w:rsidRPr="00654FF7" w:rsidRDefault="00654FF7" w:rsidP="000D05BE">
      <w:pPr>
        <w:tabs>
          <w:tab w:val="left" w:pos="694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uk-UA" w:eastAsia="ru-RU"/>
        </w:rPr>
      </w:pPr>
      <w:r w:rsidRPr="00654F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Полтавської області                                                                Т. НЕІЛЕНКО</w:t>
      </w:r>
    </w:p>
    <w:p w:rsidR="00654FF7" w:rsidRPr="00654FF7" w:rsidRDefault="00654FF7" w:rsidP="00654FF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4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54FF7" w:rsidRPr="00654FF7" w:rsidRDefault="00654FF7" w:rsidP="00654F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1D336A" w:rsidRPr="00654FF7" w:rsidRDefault="001D336A">
      <w:pPr>
        <w:rPr>
          <w:lang w:val="uk-UA"/>
        </w:rPr>
      </w:pPr>
    </w:p>
    <w:sectPr w:rsidR="001D336A" w:rsidRPr="00654FF7" w:rsidSect="00E31D66">
      <w:headerReference w:type="default" r:id="rId17"/>
      <w:footerReference w:type="default" r:id="rId18"/>
      <w:pgSz w:w="11906" w:h="16838"/>
      <w:pgMar w:top="568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41E" w:rsidRDefault="0038141E" w:rsidP="00654FF7">
      <w:pPr>
        <w:spacing w:after="0" w:line="240" w:lineRule="auto"/>
      </w:pPr>
      <w:r>
        <w:separator/>
      </w:r>
    </w:p>
  </w:endnote>
  <w:endnote w:type="continuationSeparator" w:id="0">
    <w:p w:rsidR="0038141E" w:rsidRDefault="0038141E" w:rsidP="00654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11">
    <w:altName w:val="Arial"/>
    <w:charset w:val="CC"/>
    <w:family w:val="swiss"/>
    <w:pitch w:val="variable"/>
  </w:font>
  <w:font w:name="Times New Roman1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364912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654FF7" w:rsidRPr="00654FF7" w:rsidRDefault="00654FF7">
        <w:pPr>
          <w:pStyle w:val="a7"/>
          <w:jc w:val="right"/>
          <w:rPr>
            <w:sz w:val="24"/>
            <w:szCs w:val="24"/>
          </w:rPr>
        </w:pPr>
        <w:r w:rsidRPr="00654FF7">
          <w:rPr>
            <w:sz w:val="24"/>
            <w:szCs w:val="24"/>
          </w:rPr>
          <w:fldChar w:fldCharType="begin"/>
        </w:r>
        <w:r w:rsidRPr="00654FF7">
          <w:rPr>
            <w:sz w:val="24"/>
            <w:szCs w:val="24"/>
          </w:rPr>
          <w:instrText>PAGE   \* MERGEFORMAT</w:instrText>
        </w:r>
        <w:r w:rsidRPr="00654FF7">
          <w:rPr>
            <w:sz w:val="24"/>
            <w:szCs w:val="24"/>
          </w:rPr>
          <w:fldChar w:fldCharType="separate"/>
        </w:r>
        <w:r w:rsidR="00844EE6">
          <w:rPr>
            <w:noProof/>
            <w:sz w:val="24"/>
            <w:szCs w:val="24"/>
          </w:rPr>
          <w:t>20</w:t>
        </w:r>
        <w:r w:rsidRPr="00654FF7">
          <w:rPr>
            <w:sz w:val="24"/>
            <w:szCs w:val="24"/>
          </w:rPr>
          <w:fldChar w:fldCharType="end"/>
        </w:r>
      </w:p>
    </w:sdtContent>
  </w:sdt>
  <w:p w:rsidR="00654FF7" w:rsidRDefault="00654FF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41E" w:rsidRDefault="0038141E" w:rsidP="00654FF7">
      <w:pPr>
        <w:spacing w:after="0" w:line="240" w:lineRule="auto"/>
      </w:pPr>
      <w:r>
        <w:separator/>
      </w:r>
    </w:p>
  </w:footnote>
  <w:footnote w:type="continuationSeparator" w:id="0">
    <w:p w:rsidR="0038141E" w:rsidRDefault="0038141E" w:rsidP="00654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FF7" w:rsidRPr="000D05BE" w:rsidRDefault="00654FF7" w:rsidP="00654FF7">
    <w:pPr>
      <w:pStyle w:val="a5"/>
      <w:ind w:firstLine="6096"/>
      <w:rPr>
        <w:rFonts w:ascii="Times New Roman" w:hAnsi="Times New Roman" w:cs="Times New Roman"/>
        <w:b/>
        <w:sz w:val="28"/>
        <w:szCs w:val="28"/>
      </w:rPr>
    </w:pPr>
    <w:r w:rsidRPr="000D05BE">
      <w:rPr>
        <w:rFonts w:ascii="Times New Roman" w:hAnsi="Times New Roman" w:cs="Times New Roman"/>
        <w:b/>
        <w:sz w:val="28"/>
        <w:szCs w:val="28"/>
        <w:lang w:val="uk-UA"/>
      </w:rPr>
      <w:t>Продовження додатка 1</w:t>
    </w:r>
  </w:p>
  <w:p w:rsidR="00654FF7" w:rsidRDefault="00654FF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12D72"/>
    <w:multiLevelType w:val="hybridMultilevel"/>
    <w:tmpl w:val="3C3E7550"/>
    <w:lvl w:ilvl="0" w:tplc="DB62E1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C15D9"/>
    <w:multiLevelType w:val="hybridMultilevel"/>
    <w:tmpl w:val="B1209AFE"/>
    <w:lvl w:ilvl="0" w:tplc="C6D211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0298C"/>
    <w:multiLevelType w:val="hybridMultilevel"/>
    <w:tmpl w:val="1E6443D6"/>
    <w:lvl w:ilvl="0" w:tplc="DB62E1D0">
      <w:start w:val="1"/>
      <w:numFmt w:val="bullet"/>
      <w:lvlText w:val="-"/>
      <w:lvlJc w:val="left"/>
      <w:pPr>
        <w:ind w:left="14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49"/>
    <w:rsid w:val="000D05BE"/>
    <w:rsid w:val="00187749"/>
    <w:rsid w:val="001D336A"/>
    <w:rsid w:val="0038141E"/>
    <w:rsid w:val="004E3580"/>
    <w:rsid w:val="00654FF7"/>
    <w:rsid w:val="00844EE6"/>
    <w:rsid w:val="00D61723"/>
    <w:rsid w:val="00E3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FF7"/>
  </w:style>
  <w:style w:type="paragraph" w:styleId="a7">
    <w:name w:val="footer"/>
    <w:basedOn w:val="a"/>
    <w:link w:val="a8"/>
    <w:uiPriority w:val="99"/>
    <w:unhideWhenUsed/>
    <w:rsid w:val="0065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FF7"/>
  </w:style>
  <w:style w:type="paragraph" w:styleId="a9">
    <w:name w:val="List Paragraph"/>
    <w:basedOn w:val="a"/>
    <w:uiPriority w:val="34"/>
    <w:qFormat/>
    <w:rsid w:val="00654F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FF7"/>
  </w:style>
  <w:style w:type="paragraph" w:styleId="a7">
    <w:name w:val="footer"/>
    <w:basedOn w:val="a"/>
    <w:link w:val="a8"/>
    <w:uiPriority w:val="99"/>
    <w:unhideWhenUsed/>
    <w:rsid w:val="00654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FF7"/>
  </w:style>
  <w:style w:type="paragraph" w:styleId="a9">
    <w:name w:val="List Paragraph"/>
    <w:basedOn w:val="a"/>
    <w:uiPriority w:val="34"/>
    <w:qFormat/>
    <w:rsid w:val="00654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3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20</Pages>
  <Words>4963</Words>
  <Characters>28294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cp:lastPrinted>2020-05-21T06:42:00Z</cp:lastPrinted>
  <dcterms:created xsi:type="dcterms:W3CDTF">2020-05-20T11:59:00Z</dcterms:created>
  <dcterms:modified xsi:type="dcterms:W3CDTF">2020-05-21T06:42:00Z</dcterms:modified>
</cp:coreProperties>
</file>