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84" w:rsidRPr="004145D9" w:rsidRDefault="00D35384" w:rsidP="00D35384">
      <w:pPr>
        <w:jc w:val="center"/>
        <w:rPr>
          <w:rFonts w:ascii="Times New Roman" w:hAnsi="Times New Roman" w:cs="Times New Roman"/>
          <w:sz w:val="28"/>
          <w:szCs w:val="28"/>
        </w:rPr>
      </w:pPr>
      <w:r w:rsidRPr="004145D9">
        <w:rPr>
          <w:rFonts w:ascii="Times New Roman" w:hAnsi="Times New Roman" w:cs="Times New Roman"/>
          <w:sz w:val="28"/>
          <w:szCs w:val="28"/>
        </w:rPr>
        <w:t>ПОЯСНЮВАЛЬНА ЗАПИСКА</w:t>
      </w:r>
    </w:p>
    <w:p w:rsidR="00D35384" w:rsidRPr="004145D9" w:rsidRDefault="00D35384" w:rsidP="00D35384">
      <w:pPr>
        <w:jc w:val="center"/>
        <w:rPr>
          <w:rFonts w:ascii="Times New Roman" w:hAnsi="Times New Roman" w:cs="Times New Roman"/>
          <w:sz w:val="28"/>
          <w:szCs w:val="28"/>
        </w:rPr>
      </w:pPr>
    </w:p>
    <w:p w:rsidR="00D35384" w:rsidRPr="002D5BE9" w:rsidRDefault="00D35384" w:rsidP="00D35384">
      <w:pPr>
        <w:tabs>
          <w:tab w:val="left" w:pos="709"/>
          <w:tab w:val="left" w:pos="2415"/>
        </w:tabs>
        <w:jc w:val="center"/>
        <w:rPr>
          <w:rFonts w:ascii="Times New Roman" w:hAnsi="Times New Roman" w:cs="Times New Roman"/>
          <w:sz w:val="28"/>
          <w:szCs w:val="28"/>
        </w:rPr>
      </w:pPr>
      <w:r w:rsidRPr="004145D9">
        <w:rPr>
          <w:rFonts w:ascii="Times New Roman" w:hAnsi="Times New Roman" w:cs="Times New Roman"/>
          <w:sz w:val="28"/>
          <w:szCs w:val="28"/>
        </w:rPr>
        <w:t>до проекту рішення Кременчуцької міської ради Полтавської області</w:t>
      </w:r>
    </w:p>
    <w:p w:rsidR="00D35384" w:rsidRDefault="00D35384" w:rsidP="00D35384">
      <w:pPr>
        <w:pStyle w:val="a4"/>
        <w:shd w:val="clear" w:color="auto" w:fill="FFFFFF"/>
        <w:spacing w:before="0" w:beforeAutospacing="0" w:after="0" w:afterAutospacing="0"/>
        <w:jc w:val="center"/>
        <w:rPr>
          <w:b/>
          <w:color w:val="303030"/>
          <w:sz w:val="28"/>
          <w:szCs w:val="28"/>
          <w:lang w:val="uk-UA"/>
        </w:rPr>
      </w:pPr>
      <w:r w:rsidRPr="00260C63">
        <w:rPr>
          <w:b/>
          <w:color w:val="303030"/>
          <w:sz w:val="28"/>
          <w:szCs w:val="28"/>
        </w:rPr>
        <w:t xml:space="preserve">Про затвердження </w:t>
      </w:r>
      <w:r>
        <w:rPr>
          <w:b/>
          <w:color w:val="303030"/>
          <w:sz w:val="28"/>
          <w:szCs w:val="28"/>
          <w:lang w:val="uk-UA"/>
        </w:rPr>
        <w:t>Схеми теплопостачання м. Кременчук</w:t>
      </w:r>
    </w:p>
    <w:p w:rsidR="00D35384" w:rsidRDefault="00D35384" w:rsidP="00D35384">
      <w:pPr>
        <w:pStyle w:val="a4"/>
        <w:shd w:val="clear" w:color="auto" w:fill="FFFFFF"/>
        <w:spacing w:before="0" w:beforeAutospacing="0" w:after="0" w:afterAutospacing="0"/>
        <w:jc w:val="center"/>
        <w:rPr>
          <w:b/>
          <w:color w:val="303030"/>
          <w:sz w:val="28"/>
          <w:szCs w:val="28"/>
          <w:lang w:val="uk-UA"/>
        </w:rPr>
      </w:pPr>
      <w:r>
        <w:rPr>
          <w:b/>
          <w:color w:val="303030"/>
          <w:sz w:val="28"/>
          <w:szCs w:val="28"/>
          <w:lang w:val="uk-UA"/>
        </w:rPr>
        <w:t>Полтавської області</w:t>
      </w:r>
    </w:p>
    <w:p w:rsidR="00D35384" w:rsidRDefault="00D35384" w:rsidP="00D35384">
      <w:pPr>
        <w:pStyle w:val="a4"/>
        <w:shd w:val="clear" w:color="auto" w:fill="FFFFFF"/>
        <w:spacing w:before="0" w:beforeAutospacing="0" w:after="0" w:afterAutospacing="0"/>
        <w:jc w:val="center"/>
        <w:rPr>
          <w:b/>
          <w:color w:val="303030"/>
          <w:sz w:val="28"/>
          <w:szCs w:val="28"/>
          <w:lang w:val="uk-UA"/>
        </w:rPr>
      </w:pPr>
    </w:p>
    <w:p w:rsidR="00975D32" w:rsidRDefault="00EA4CDB" w:rsidP="00750926">
      <w:pPr>
        <w:pStyle w:val="20"/>
        <w:shd w:val="clear" w:color="auto" w:fill="auto"/>
        <w:spacing w:before="0" w:after="0" w:line="240" w:lineRule="auto"/>
        <w:ind w:firstLine="720"/>
      </w:pPr>
      <w:r>
        <w:t>Схема теплопостачання м. Кременчук розроблена згідно з технічним завданням та відповідно до Методичних рекомендацій з розроблення енерго- та екологоефективних схем теплопостачання населених пунктів України (наказ Мінрегіонбу</w:t>
      </w:r>
      <w:r w:rsidR="005F6FB3">
        <w:t>ду України від 26.04.2006 №147)</w:t>
      </w:r>
      <w:r>
        <w:t>.</w:t>
      </w:r>
    </w:p>
    <w:p w:rsidR="001C1EFA" w:rsidRDefault="00EA4CDB" w:rsidP="00750926">
      <w:pPr>
        <w:pStyle w:val="20"/>
        <w:shd w:val="clear" w:color="auto" w:fill="auto"/>
        <w:spacing w:before="0" w:after="0" w:line="240" w:lineRule="auto"/>
        <w:ind w:firstLine="720"/>
      </w:pPr>
      <w:r>
        <w:t>Більша частина теплового навантаження міста (близько 80%) вже зараз забезпечується від когенерації (ТЕЦ Полтаваобленерго), проте внаслідок значних втрат в магістральних теплових мережах, це не призводить до зниження тарифів для споживачів в порівнянні з районними котельнями на газовому паливі. Відповідно централізоване теплопостачання програє в конкуренції з децентралізованим і більшість новобудов проектуються з індивідуальними газовими котлами.</w:t>
      </w:r>
    </w:p>
    <w:p w:rsidR="001C1EFA" w:rsidRDefault="00EA4CDB" w:rsidP="00750926">
      <w:pPr>
        <w:pStyle w:val="20"/>
        <w:shd w:val="clear" w:color="auto" w:fill="auto"/>
        <w:spacing w:before="0" w:after="0" w:line="240" w:lineRule="auto"/>
        <w:ind w:firstLine="720"/>
      </w:pPr>
      <w:r>
        <w:t>Постійне підвищення вартості енергоносіїв призводить до підвищення тарифів на опалення та гаряче водопостачання, що негативно відображається на соціальному становищі населення та місцевій економіці (внаслідок зниження споживчої активності населення).</w:t>
      </w:r>
    </w:p>
    <w:p w:rsidR="001C1EFA" w:rsidRDefault="00EA4CDB" w:rsidP="00750926">
      <w:pPr>
        <w:pStyle w:val="20"/>
        <w:shd w:val="clear" w:color="auto" w:fill="auto"/>
        <w:spacing w:before="0" w:after="0" w:line="240" w:lineRule="auto"/>
        <w:ind w:firstLine="720"/>
      </w:pPr>
      <w:r>
        <w:t xml:space="preserve">Відповідно основні </w:t>
      </w:r>
      <w:r>
        <w:rPr>
          <w:lang w:val="ru-RU" w:eastAsia="ru-RU" w:bidi="ru-RU"/>
        </w:rPr>
        <w:t xml:space="preserve">заходи </w:t>
      </w:r>
      <w:r>
        <w:t>передбачені схемою теплопостачання спрямовані на:</w:t>
      </w:r>
    </w:p>
    <w:p w:rsidR="001C1EFA" w:rsidRDefault="00EA4CDB" w:rsidP="00750926">
      <w:pPr>
        <w:pStyle w:val="20"/>
        <w:numPr>
          <w:ilvl w:val="0"/>
          <w:numId w:val="1"/>
        </w:numPr>
        <w:shd w:val="clear" w:color="auto" w:fill="auto"/>
        <w:tabs>
          <w:tab w:val="left" w:pos="1451"/>
        </w:tabs>
        <w:spacing w:before="0" w:after="0" w:line="240" w:lineRule="auto"/>
        <w:ind w:left="1460"/>
      </w:pPr>
      <w:r>
        <w:t>Зниження абсолютних затрат споживачів на тепло шляхом зменшення споживання тепла при збереженні тренду зростання вартості енергоносіїв;</w:t>
      </w:r>
    </w:p>
    <w:p w:rsidR="001C1EFA" w:rsidRDefault="00EA4CDB" w:rsidP="00750926">
      <w:pPr>
        <w:pStyle w:val="20"/>
        <w:numPr>
          <w:ilvl w:val="0"/>
          <w:numId w:val="1"/>
        </w:numPr>
        <w:shd w:val="clear" w:color="auto" w:fill="auto"/>
        <w:tabs>
          <w:tab w:val="left" w:pos="1451"/>
        </w:tabs>
        <w:spacing w:before="0" w:after="0" w:line="240" w:lineRule="auto"/>
        <w:ind w:left="1460"/>
      </w:pPr>
      <w:r>
        <w:t>Підвищення ефективності використання природного газу існуючими об’єктами генерації;</w:t>
      </w:r>
    </w:p>
    <w:p w:rsidR="001C1EFA" w:rsidRDefault="00EA4CDB" w:rsidP="00750926">
      <w:pPr>
        <w:pStyle w:val="20"/>
        <w:numPr>
          <w:ilvl w:val="0"/>
          <w:numId w:val="1"/>
        </w:numPr>
        <w:shd w:val="clear" w:color="auto" w:fill="auto"/>
        <w:tabs>
          <w:tab w:val="left" w:pos="1451"/>
        </w:tabs>
        <w:spacing w:before="0" w:after="0" w:line="240" w:lineRule="auto"/>
        <w:ind w:left="1460"/>
      </w:pPr>
      <w:r>
        <w:t>Заміщення природного газу місцевими видами палива (солома, агропеллета).</w:t>
      </w:r>
    </w:p>
    <w:p w:rsidR="001C1EFA" w:rsidRDefault="00EA4CDB" w:rsidP="00750926">
      <w:pPr>
        <w:pStyle w:val="20"/>
        <w:shd w:val="clear" w:color="auto" w:fill="auto"/>
        <w:spacing w:before="0" w:after="0" w:line="240" w:lineRule="auto"/>
        <w:ind w:firstLine="740"/>
      </w:pPr>
      <w:r>
        <w:t>Оскільки перспективою забудови м. Кременчук не передбачається значні обсяги життєвого та соціального будівництва - схемою не передбачається підвищення потужностей генерації тепла і не передбачається розширення тепломережі міста.</w:t>
      </w:r>
    </w:p>
    <w:p w:rsidR="001C1EFA" w:rsidRDefault="00EA4CDB" w:rsidP="00750926">
      <w:pPr>
        <w:pStyle w:val="20"/>
        <w:shd w:val="clear" w:color="auto" w:fill="auto"/>
        <w:spacing w:before="0" w:after="0" w:line="240" w:lineRule="auto"/>
        <w:ind w:firstLine="0"/>
        <w:jc w:val="left"/>
      </w:pPr>
      <w:r>
        <w:t>Основні заходи з підвищення енергоефективності спрямовані на:</w:t>
      </w:r>
    </w:p>
    <w:p w:rsidR="001C1EFA" w:rsidRDefault="00EA4CDB" w:rsidP="00750926">
      <w:pPr>
        <w:pStyle w:val="20"/>
        <w:numPr>
          <w:ilvl w:val="0"/>
          <w:numId w:val="2"/>
        </w:numPr>
        <w:shd w:val="clear" w:color="auto" w:fill="auto"/>
        <w:tabs>
          <w:tab w:val="left" w:pos="1470"/>
        </w:tabs>
        <w:spacing w:before="0" w:after="0" w:line="240" w:lineRule="auto"/>
        <w:ind w:left="1480" w:hanging="360"/>
      </w:pPr>
      <w:r>
        <w:t>Реконструкцію і переоснащення існуючих джерел теплової енергії;</w:t>
      </w:r>
    </w:p>
    <w:p w:rsidR="001C1EFA" w:rsidRDefault="00EA4CDB" w:rsidP="00750926">
      <w:pPr>
        <w:pStyle w:val="20"/>
        <w:numPr>
          <w:ilvl w:val="0"/>
          <w:numId w:val="2"/>
        </w:numPr>
        <w:shd w:val="clear" w:color="auto" w:fill="auto"/>
        <w:tabs>
          <w:tab w:val="left" w:pos="1470"/>
        </w:tabs>
        <w:spacing w:before="0" w:after="0" w:line="240" w:lineRule="auto"/>
        <w:ind w:left="1480" w:hanging="360"/>
      </w:pPr>
      <w:r>
        <w:t>Реконструкцію існуючих теплових мереж з використанням</w:t>
      </w:r>
    </w:p>
    <w:p w:rsidR="001C1EFA" w:rsidRDefault="00EA4CDB" w:rsidP="00750926">
      <w:pPr>
        <w:pStyle w:val="20"/>
        <w:shd w:val="clear" w:color="auto" w:fill="auto"/>
        <w:tabs>
          <w:tab w:val="left" w:pos="3736"/>
          <w:tab w:val="left" w:pos="7571"/>
        </w:tabs>
        <w:spacing w:before="0" w:after="0" w:line="240" w:lineRule="auto"/>
        <w:ind w:left="1480" w:firstLine="0"/>
      </w:pPr>
      <w:r>
        <w:t>попередньо ізольованих трубопроводів, оптимізацію гідравлічних режимів та помірну децентралізацію системи теплопостачання з впровадженням</w:t>
      </w:r>
      <w:r>
        <w:tab/>
        <w:t>в експлуатацію районних</w:t>
      </w:r>
      <w:r>
        <w:tab/>
        <w:t>котелень для</w:t>
      </w:r>
    </w:p>
    <w:p w:rsidR="001C1EFA" w:rsidRDefault="00EA4CDB" w:rsidP="00750926">
      <w:pPr>
        <w:pStyle w:val="20"/>
        <w:shd w:val="clear" w:color="auto" w:fill="auto"/>
        <w:spacing w:before="0" w:after="0" w:line="240" w:lineRule="auto"/>
        <w:ind w:left="1480" w:firstLine="0"/>
      </w:pPr>
      <w:r>
        <w:t>резервування подачі тепла від основних джерел;</w:t>
      </w:r>
    </w:p>
    <w:p w:rsidR="001C1EFA" w:rsidRDefault="00EA4CDB" w:rsidP="00750926">
      <w:pPr>
        <w:pStyle w:val="20"/>
        <w:numPr>
          <w:ilvl w:val="0"/>
          <w:numId w:val="2"/>
        </w:numPr>
        <w:shd w:val="clear" w:color="auto" w:fill="auto"/>
        <w:tabs>
          <w:tab w:val="left" w:pos="1470"/>
        </w:tabs>
        <w:spacing w:before="0" w:after="0" w:line="240" w:lineRule="auto"/>
        <w:ind w:left="1480" w:hanging="360"/>
      </w:pPr>
      <w:r>
        <w:t>Впровадження комплексної системи обліку теплової енергії та контролю роботи системи на об’єктах теплової генерації і безпосередньо у споживачів.</w:t>
      </w:r>
    </w:p>
    <w:p w:rsidR="001C1EFA" w:rsidRDefault="00EA4CDB" w:rsidP="00750926">
      <w:pPr>
        <w:pStyle w:val="20"/>
        <w:shd w:val="clear" w:color="auto" w:fill="auto"/>
        <w:spacing w:before="0" w:after="0" w:line="240" w:lineRule="auto"/>
        <w:ind w:firstLine="740"/>
      </w:pPr>
      <w:r>
        <w:lastRenderedPageBreak/>
        <w:t>Особливістю системи теплопостачання є наявність закільцьованих магістральних теплових мереж, що приєднані до ТЕЦ Полтаваобленерго.</w:t>
      </w:r>
    </w:p>
    <w:p w:rsidR="001C1EFA" w:rsidRDefault="00EA4CDB" w:rsidP="00750926">
      <w:pPr>
        <w:pStyle w:val="20"/>
        <w:shd w:val="clear" w:color="auto" w:fill="auto"/>
        <w:spacing w:before="0" w:after="0" w:line="240" w:lineRule="auto"/>
        <w:ind w:firstLine="740"/>
      </w:pPr>
      <w:r>
        <w:t>Суттєва різниця у відмітках розташування ТЕЦ і деяких споживачів призводить до необхідності підтримувати надзвичайно високий тиск води на окремих ділянках теплових мережах. Щоб забезпечити необхідний напір теплоносія, встановлені додаткові проміжні станції підвищення тиску. Враховуючи закільцьованість системи, це призводить до значних перевитрат електроенергії та підвищення в собівартості Гкал тепла електричної складової.</w:t>
      </w:r>
    </w:p>
    <w:p w:rsidR="001C1EFA" w:rsidRPr="00975D32" w:rsidRDefault="00EA4CDB" w:rsidP="00750926">
      <w:pPr>
        <w:pStyle w:val="20"/>
        <w:shd w:val="clear" w:color="auto" w:fill="auto"/>
        <w:spacing w:before="0" w:after="0" w:line="240" w:lineRule="auto"/>
        <w:ind w:firstLine="740"/>
        <w:rPr>
          <w:color w:val="000000" w:themeColor="text1"/>
        </w:rPr>
      </w:pPr>
      <w:r>
        <w:t xml:space="preserve">Схемою теплопостачання не передбачається перерозподіл приєднаного навантаження до ТЕЦ. </w:t>
      </w:r>
      <w:r w:rsidR="00D06C96">
        <w:t>Часткове з</w:t>
      </w:r>
      <w:r>
        <w:t>аміщення споживання природного газу передбачається шляхом будівництва твердопаливної котельні для заміщення базового навантаження від котельні КВ</w:t>
      </w:r>
      <w:r w:rsidR="00750926">
        <w:t>Б</w:t>
      </w:r>
      <w:r>
        <w:t>З, що поступово виводиться з експлуатації та від’єднання віддалених споживачів існуючих газових котелень. При цьому в балансі враховано зменшення теплового навантаження, внаслідок термомодернізації споживачів.</w:t>
      </w:r>
    </w:p>
    <w:p w:rsidR="00750926" w:rsidRPr="005F6FB3" w:rsidRDefault="00750926" w:rsidP="00750926">
      <w:pPr>
        <w:pStyle w:val="20"/>
        <w:shd w:val="clear" w:color="auto" w:fill="auto"/>
        <w:spacing w:before="0" w:after="0" w:line="240" w:lineRule="auto"/>
        <w:ind w:firstLine="740"/>
        <w:rPr>
          <w:color w:val="000000" w:themeColor="text1"/>
        </w:rPr>
      </w:pPr>
      <w:r w:rsidRPr="005F6FB3">
        <w:rPr>
          <w:color w:val="000000" w:themeColor="text1"/>
        </w:rPr>
        <w:t xml:space="preserve">До того схемою передбачається децентралізація окремих районів, де експлуатація існуючої системи є не рентабельною, а саме районів </w:t>
      </w:r>
      <w:r w:rsidR="00975D32">
        <w:rPr>
          <w:color w:val="000000" w:themeColor="text1"/>
        </w:rPr>
        <w:t xml:space="preserve">                         </w:t>
      </w:r>
      <w:r w:rsidRPr="005F6FB3">
        <w:rPr>
          <w:color w:val="000000" w:themeColor="text1"/>
        </w:rPr>
        <w:t>вул.</w:t>
      </w:r>
      <w:r w:rsidR="00975D32">
        <w:rPr>
          <w:color w:val="000000" w:themeColor="text1"/>
        </w:rPr>
        <w:t xml:space="preserve"> </w:t>
      </w:r>
      <w:r w:rsidRPr="005F6FB3">
        <w:rPr>
          <w:color w:val="000000" w:themeColor="text1"/>
        </w:rPr>
        <w:t>Кондратюка, вул.</w:t>
      </w:r>
      <w:r w:rsidR="00975D32">
        <w:rPr>
          <w:color w:val="000000" w:themeColor="text1"/>
        </w:rPr>
        <w:t xml:space="preserve"> </w:t>
      </w:r>
      <w:r w:rsidRPr="005F6FB3">
        <w:rPr>
          <w:color w:val="000000" w:themeColor="text1"/>
        </w:rPr>
        <w:t>Чкалова та вул.</w:t>
      </w:r>
      <w:r w:rsidR="00975D32">
        <w:rPr>
          <w:color w:val="000000" w:themeColor="text1"/>
        </w:rPr>
        <w:t xml:space="preserve"> </w:t>
      </w:r>
      <w:r w:rsidRPr="005F6FB3">
        <w:rPr>
          <w:color w:val="000000" w:themeColor="text1"/>
        </w:rPr>
        <w:t>Східної.</w:t>
      </w:r>
    </w:p>
    <w:p w:rsidR="001C1EFA" w:rsidRDefault="00EA4CDB" w:rsidP="00750926">
      <w:pPr>
        <w:pStyle w:val="20"/>
        <w:shd w:val="clear" w:color="auto" w:fill="auto"/>
        <w:spacing w:before="0" w:after="0" w:line="240" w:lineRule="auto"/>
        <w:ind w:firstLine="740"/>
      </w:pPr>
      <w:r>
        <w:t>Схема теплопостачання є загальним планувальним документом, який, крім іншого, включає припущення по зменшенню теплового навантаження споживачів внаслідок термомодернізації будинків до вимог нормативної документації, що компенсує збільшення навантаження внаслідок теплопостачання по 2-х трубній схемі.</w:t>
      </w:r>
    </w:p>
    <w:p w:rsidR="001C1EFA" w:rsidRDefault="00EA4CDB" w:rsidP="00750926">
      <w:pPr>
        <w:pStyle w:val="20"/>
        <w:shd w:val="clear" w:color="auto" w:fill="auto"/>
        <w:spacing w:before="0" w:after="0" w:line="240" w:lineRule="auto"/>
        <w:ind w:firstLine="740"/>
      </w:pPr>
      <w:r>
        <w:t xml:space="preserve">Встановлення ІТП при термомодернізації є вимогою норм незалежно від наявності ЦТП. В будь-якому разі рішення про необхідність перекладення мереж теплопостачання та ХВП буде прийматись на стадії розробки проектної документації по </w:t>
      </w:r>
      <w:r>
        <w:rPr>
          <w:lang w:val="ru-RU" w:eastAsia="ru-RU" w:bidi="ru-RU"/>
        </w:rPr>
        <w:t xml:space="preserve">кожному </w:t>
      </w:r>
      <w:r>
        <w:t>району окремо.</w:t>
      </w:r>
    </w:p>
    <w:p w:rsidR="00750926" w:rsidRPr="005F6FB3" w:rsidRDefault="00750926" w:rsidP="00750926">
      <w:pPr>
        <w:pStyle w:val="20"/>
        <w:shd w:val="clear" w:color="auto" w:fill="auto"/>
        <w:spacing w:before="0" w:after="0" w:line="240" w:lineRule="auto"/>
        <w:ind w:firstLine="740"/>
        <w:rPr>
          <w:color w:val="000000" w:themeColor="text1"/>
        </w:rPr>
      </w:pPr>
      <w:r w:rsidRPr="005F6FB3">
        <w:rPr>
          <w:color w:val="000000" w:themeColor="text1"/>
        </w:rPr>
        <w:t xml:space="preserve">Встановлення ІТП у споживачів району Раківка, дозволить значно снизити втрати теплової енергії як в </w:t>
      </w:r>
      <w:r w:rsidR="00BA4BA0" w:rsidRPr="005F6FB3">
        <w:rPr>
          <w:color w:val="000000" w:themeColor="text1"/>
        </w:rPr>
        <w:t>мережах</w:t>
      </w:r>
      <w:r w:rsidRPr="005F6FB3">
        <w:rPr>
          <w:color w:val="000000" w:themeColor="text1"/>
        </w:rPr>
        <w:t xml:space="preserve"> центрального опалення </w:t>
      </w:r>
      <w:r w:rsidR="00BA4BA0" w:rsidRPr="005F6FB3">
        <w:rPr>
          <w:color w:val="000000" w:themeColor="text1"/>
        </w:rPr>
        <w:t>так і в мережах гарячого водопостачання.</w:t>
      </w:r>
    </w:p>
    <w:p w:rsidR="001C1EFA" w:rsidRDefault="00EA4CDB" w:rsidP="00750926">
      <w:pPr>
        <w:pStyle w:val="20"/>
        <w:shd w:val="clear" w:color="auto" w:fill="auto"/>
        <w:spacing w:before="0" w:after="0" w:line="240" w:lineRule="auto"/>
        <w:ind w:firstLine="740"/>
      </w:pPr>
      <w:r>
        <w:t>В роботі виконано гідравлічний розрахунок магістральних теплових мереж за умови максимального приєднання споживачів до ТЕЦ та надані рекомендації з діаметрів трубопроводів, що будуть замінюватись.</w:t>
      </w:r>
    </w:p>
    <w:p w:rsidR="00975D32" w:rsidRDefault="00975D32" w:rsidP="00975D32">
      <w:pPr>
        <w:pStyle w:val="20"/>
        <w:shd w:val="clear" w:color="auto" w:fill="auto"/>
        <w:spacing w:before="0" w:after="0" w:line="240" w:lineRule="auto"/>
        <w:ind w:firstLine="720"/>
      </w:pPr>
      <w:r>
        <w:t>Зазначена Схема погоджена Н</w:t>
      </w:r>
      <w:r w:rsidRPr="00927B86">
        <w:t>аказ</w:t>
      </w:r>
      <w:r>
        <w:t>ом</w:t>
      </w:r>
      <w:r w:rsidRPr="00927B86">
        <w:t xml:space="preserve"> Міністерства розви</w:t>
      </w:r>
      <w:r>
        <w:t>тку громад та територій України</w:t>
      </w:r>
      <w:r w:rsidRPr="00927B86">
        <w:t xml:space="preserve"> від 20.12.2019 № 324 «Про погодження Схеми теплопостачання м. Кременчук Полтавської області»</w:t>
      </w:r>
      <w:r>
        <w:t xml:space="preserve"> та відповідно до </w:t>
      </w:r>
      <w:r w:rsidRPr="00927B86">
        <w:t>ст. 13 Закону України «Про теплопостачання»</w:t>
      </w:r>
      <w:r>
        <w:t xml:space="preserve"> підлягає затвердженню органами місцевого самоврядування.</w:t>
      </w:r>
    </w:p>
    <w:p w:rsidR="00975D32" w:rsidRDefault="00975D32">
      <w:pPr>
        <w:pStyle w:val="20"/>
        <w:shd w:val="clear" w:color="auto" w:fill="auto"/>
        <w:spacing w:before="0" w:after="0" w:line="240" w:lineRule="auto"/>
        <w:ind w:firstLine="740"/>
      </w:pPr>
    </w:p>
    <w:p w:rsidR="00975D32" w:rsidRDefault="00975D32">
      <w:pPr>
        <w:pStyle w:val="20"/>
        <w:shd w:val="clear" w:color="auto" w:fill="auto"/>
        <w:spacing w:before="0" w:after="0" w:line="240" w:lineRule="auto"/>
        <w:ind w:firstLine="740"/>
      </w:pPr>
    </w:p>
    <w:p w:rsidR="005F6FB3" w:rsidRPr="00975D32" w:rsidRDefault="00975D32" w:rsidP="00975D32">
      <w:pPr>
        <w:jc w:val="both"/>
        <w:rPr>
          <w:rFonts w:ascii="Times New Roman" w:hAnsi="Times New Roman" w:cs="Times New Roman"/>
          <w:b/>
          <w:sz w:val="28"/>
          <w:szCs w:val="28"/>
        </w:rPr>
      </w:pPr>
      <w:r w:rsidRPr="00975D32">
        <w:rPr>
          <w:rFonts w:ascii="Times New Roman" w:hAnsi="Times New Roman" w:cs="Times New Roman"/>
          <w:b/>
          <w:sz w:val="28"/>
          <w:szCs w:val="28"/>
        </w:rPr>
        <w:t xml:space="preserve">Директор Департаменту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975D32">
        <w:rPr>
          <w:rFonts w:ascii="Times New Roman" w:hAnsi="Times New Roman" w:cs="Times New Roman"/>
          <w:b/>
          <w:sz w:val="28"/>
          <w:szCs w:val="28"/>
        </w:rPr>
        <w:t>І.</w:t>
      </w:r>
      <w:r>
        <w:rPr>
          <w:rFonts w:ascii="Times New Roman" w:hAnsi="Times New Roman" w:cs="Times New Roman"/>
          <w:b/>
          <w:sz w:val="28"/>
          <w:szCs w:val="28"/>
        </w:rPr>
        <w:t xml:space="preserve"> </w:t>
      </w:r>
      <w:r w:rsidRPr="00975D32">
        <w:rPr>
          <w:rFonts w:ascii="Times New Roman" w:hAnsi="Times New Roman" w:cs="Times New Roman"/>
          <w:b/>
          <w:sz w:val="28"/>
          <w:szCs w:val="28"/>
        </w:rPr>
        <w:t xml:space="preserve">МОСКАЛИК </w:t>
      </w:r>
    </w:p>
    <w:sectPr w:rsidR="005F6FB3" w:rsidRPr="00975D32" w:rsidSect="001C1EFA">
      <w:pgSz w:w="11900" w:h="16840"/>
      <w:pgMar w:top="1095" w:right="815" w:bottom="1527" w:left="155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573" w:rsidRDefault="00426573" w:rsidP="001C1EFA">
      <w:r>
        <w:separator/>
      </w:r>
    </w:p>
  </w:endnote>
  <w:endnote w:type="continuationSeparator" w:id="1">
    <w:p w:rsidR="00426573" w:rsidRDefault="00426573" w:rsidP="001C1E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573" w:rsidRDefault="00426573"/>
  </w:footnote>
  <w:footnote w:type="continuationSeparator" w:id="1">
    <w:p w:rsidR="00426573" w:rsidRDefault="0042657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630FC"/>
    <w:multiLevelType w:val="multilevel"/>
    <w:tmpl w:val="EFAE9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9FA7836"/>
    <w:multiLevelType w:val="multilevel"/>
    <w:tmpl w:val="0470C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1C1EFA"/>
    <w:rsid w:val="001C1EFA"/>
    <w:rsid w:val="00426573"/>
    <w:rsid w:val="005F6FB3"/>
    <w:rsid w:val="006C58DF"/>
    <w:rsid w:val="00750926"/>
    <w:rsid w:val="00910207"/>
    <w:rsid w:val="00975D32"/>
    <w:rsid w:val="00BA4BA0"/>
    <w:rsid w:val="00D06C96"/>
    <w:rsid w:val="00D35384"/>
    <w:rsid w:val="00EA4CDB"/>
    <w:rsid w:val="00F617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C1EF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C1EFA"/>
    <w:rPr>
      <w:color w:val="0066CC"/>
      <w:u w:val="single"/>
    </w:rPr>
  </w:style>
  <w:style w:type="character" w:customStyle="1" w:styleId="1">
    <w:name w:val="Заголовок №1_"/>
    <w:basedOn w:val="a0"/>
    <w:link w:val="10"/>
    <w:rsid w:val="001C1EFA"/>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1C1EFA"/>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1C1EFA"/>
    <w:rPr>
      <w:rFonts w:ascii="Times New Roman" w:eastAsia="Times New Roman" w:hAnsi="Times New Roman" w:cs="Times New Roman"/>
      <w:b w:val="0"/>
      <w:bCs w:val="0"/>
      <w:i w:val="0"/>
      <w:iCs w:val="0"/>
      <w:smallCaps w:val="0"/>
      <w:strike w:val="0"/>
      <w:sz w:val="28"/>
      <w:szCs w:val="28"/>
      <w:u w:val="none"/>
    </w:rPr>
  </w:style>
  <w:style w:type="paragraph" w:customStyle="1" w:styleId="10">
    <w:name w:val="Заголовок №1"/>
    <w:basedOn w:val="a"/>
    <w:link w:val="1"/>
    <w:rsid w:val="001C1EFA"/>
    <w:pPr>
      <w:shd w:val="clear" w:color="auto" w:fill="FFFFFF"/>
      <w:spacing w:line="322" w:lineRule="exact"/>
      <w:jc w:val="both"/>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rsid w:val="001C1EFA"/>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rsid w:val="001C1EFA"/>
    <w:pPr>
      <w:shd w:val="clear" w:color="auto" w:fill="FFFFFF"/>
      <w:spacing w:before="180" w:after="180" w:line="480" w:lineRule="exact"/>
      <w:ind w:hanging="420"/>
      <w:jc w:val="both"/>
    </w:pPr>
    <w:rPr>
      <w:rFonts w:ascii="Times New Roman" w:eastAsia="Times New Roman" w:hAnsi="Times New Roman" w:cs="Times New Roman"/>
      <w:sz w:val="28"/>
      <w:szCs w:val="28"/>
    </w:rPr>
  </w:style>
  <w:style w:type="paragraph" w:styleId="a4">
    <w:name w:val="Normal (Web)"/>
    <w:basedOn w:val="a"/>
    <w:uiPriority w:val="99"/>
    <w:unhideWhenUsed/>
    <w:rsid w:val="00D35384"/>
    <w:pPr>
      <w:widowControl/>
      <w:spacing w:before="100" w:beforeAutospacing="1" w:after="100" w:afterAutospacing="1"/>
    </w:pPr>
    <w:rPr>
      <w:rFonts w:ascii="Times New Roman" w:eastAsia="Times New Roman" w:hAnsi="Times New Roman" w:cs="Times New Roman"/>
      <w:color w:val="auto"/>
      <w:lang w:val="ru-RU" w:eastAsia="ru-RU"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706</Words>
  <Characters>4029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Microsoft Word - ÐflÐ¾Ð²ÑŒÐ´ÐºÐ° Ð¿Ñ•Ð¾ Ñ•Ð¾Ð·Ñ•Ð¾Ð±ÐºÑ… ÐŁÐ½ÐµÑ•Ð³Ð¾ÐµÑ—ÐµÐºÑ‡Ð¸Ð²Ð½ Ñ†Ñ–ÐµÐ¼Ð° Ñ‡ÐµÐ¿Ð»Ð¾Ð¿Ð¾Ñ†Ñ‡Ð°Ñ⁄Ð°Ð½Ð½Ñ‘  Ð¼ ÐıÑ•ÐµÐ¼ÐµÐ½Ñ⁄Ñ…Ðº</vt:lpstr>
    </vt:vector>
  </TitlesOfParts>
  <Company>Grizli777</Company>
  <LinksUpToDate>false</LinksUpToDate>
  <CharactersWithSpaces>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ÐflÐ¾Ð²ÑŒÐ´ÐºÐ° Ð¿Ñ•Ð¾ Ñ•Ð¾Ð·Ñ•Ð¾Ð±ÐºÑ… ÐŁÐ½ÐµÑ•Ð³Ð¾ÐµÑ—ÐµÐºÑ‡Ð¸Ð²Ð½ Ñ†Ñ–ÐµÐ¼Ð° Ñ‡ÐµÐ¿Ð»Ð¾Ð¿Ð¾Ñ†Ñ‡Ð°Ñ⁄Ð°Ð½Ð½Ñ‘  Ð¼ ÐıÑ•ÐµÐ¼ÐµÐ½Ñ⁄Ñ…Ðº</dc:title>
  <dc:subject/>
  <dc:creator>n.politikina</dc:creator>
  <cp:keywords/>
  <cp:lastModifiedBy>ЖЕВ7</cp:lastModifiedBy>
  <cp:revision>5</cp:revision>
  <cp:lastPrinted>2020-01-20T07:17:00Z</cp:lastPrinted>
  <dcterms:created xsi:type="dcterms:W3CDTF">2020-01-20T07:04:00Z</dcterms:created>
  <dcterms:modified xsi:type="dcterms:W3CDTF">2020-01-20T11:02:00Z</dcterms:modified>
</cp:coreProperties>
</file>