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AC" w:rsidRPr="001C2164" w:rsidRDefault="00AC79A2" w:rsidP="001C2164">
      <w:pPr>
        <w:spacing w:after="0"/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AC79A2" w:rsidRPr="001C2164" w:rsidRDefault="001C2164" w:rsidP="001C2164">
      <w:pPr>
        <w:spacing w:after="0"/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д</w:t>
      </w:r>
      <w:r w:rsidR="00AC79A2" w:rsidRPr="001C2164">
        <w:rPr>
          <w:rFonts w:ascii="Times New Roman" w:hAnsi="Times New Roman" w:cs="Times New Roman"/>
          <w:b/>
          <w:sz w:val="28"/>
          <w:szCs w:val="28"/>
        </w:rPr>
        <w:t xml:space="preserve">о рішення міської ради </w:t>
      </w:r>
    </w:p>
    <w:p w:rsidR="00AC79A2" w:rsidRPr="001C2164" w:rsidRDefault="001C2164" w:rsidP="001C2164">
      <w:pPr>
        <w:spacing w:after="0"/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в</w:t>
      </w:r>
      <w:r w:rsidR="00AC79A2" w:rsidRPr="001C2164">
        <w:rPr>
          <w:rFonts w:ascii="Times New Roman" w:hAnsi="Times New Roman" w:cs="Times New Roman"/>
          <w:b/>
          <w:sz w:val="28"/>
          <w:szCs w:val="28"/>
        </w:rPr>
        <w:t>ід 11 жовтня 2018 р</w:t>
      </w:r>
      <w:r w:rsidRPr="001C2164">
        <w:rPr>
          <w:rFonts w:ascii="Times New Roman" w:hAnsi="Times New Roman" w:cs="Times New Roman"/>
          <w:b/>
          <w:sz w:val="28"/>
          <w:szCs w:val="28"/>
        </w:rPr>
        <w:t>оку</w:t>
      </w:r>
    </w:p>
    <w:p w:rsidR="009545AC" w:rsidRPr="001C2164" w:rsidRDefault="009545AC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9A2" w:rsidRPr="001C2164" w:rsidRDefault="00AC79A2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9A2" w:rsidRPr="001C2164" w:rsidRDefault="00AC79A2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A48" w:rsidRPr="001C2164" w:rsidRDefault="00110A48" w:rsidP="001C216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2164">
        <w:rPr>
          <w:rFonts w:ascii="Times New Roman" w:hAnsi="Times New Roman" w:cs="Times New Roman"/>
          <w:b/>
          <w:sz w:val="44"/>
          <w:szCs w:val="44"/>
        </w:rPr>
        <w:t>ПРОГРАМА</w:t>
      </w:r>
    </w:p>
    <w:p w:rsidR="001C2164" w:rsidRDefault="00110A48" w:rsidP="001C21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C2164">
        <w:rPr>
          <w:rFonts w:ascii="Times New Roman" w:hAnsi="Times New Roman" w:cs="Times New Roman"/>
          <w:sz w:val="32"/>
          <w:szCs w:val="32"/>
        </w:rPr>
        <w:t>заміни ава</w:t>
      </w:r>
      <w:r w:rsidR="001C2164">
        <w:rPr>
          <w:rFonts w:ascii="Times New Roman" w:hAnsi="Times New Roman" w:cs="Times New Roman"/>
          <w:sz w:val="32"/>
          <w:szCs w:val="32"/>
        </w:rPr>
        <w:t>рійних ділянок інженерних мереж</w:t>
      </w:r>
    </w:p>
    <w:p w:rsidR="00E1520A" w:rsidRPr="001C2164" w:rsidRDefault="00E1520A" w:rsidP="001C21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C2164">
        <w:rPr>
          <w:rFonts w:ascii="Times New Roman" w:hAnsi="Times New Roman" w:cs="Times New Roman"/>
          <w:sz w:val="32"/>
          <w:szCs w:val="32"/>
        </w:rPr>
        <w:t xml:space="preserve">теплопостачання та </w:t>
      </w:r>
      <w:r w:rsidR="00110A48" w:rsidRPr="001C2164">
        <w:rPr>
          <w:rFonts w:ascii="Times New Roman" w:hAnsi="Times New Roman" w:cs="Times New Roman"/>
          <w:sz w:val="32"/>
          <w:szCs w:val="32"/>
        </w:rPr>
        <w:t>гарячого водопостачання</w:t>
      </w:r>
    </w:p>
    <w:p w:rsidR="00110A48" w:rsidRPr="001C2164" w:rsidRDefault="00110A48" w:rsidP="001C21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C2164">
        <w:rPr>
          <w:rFonts w:ascii="Times New Roman" w:hAnsi="Times New Roman" w:cs="Times New Roman"/>
          <w:sz w:val="32"/>
          <w:szCs w:val="32"/>
        </w:rPr>
        <w:t>КП</w:t>
      </w:r>
      <w:proofErr w:type="spellEnd"/>
      <w:r w:rsidRPr="001C2164">
        <w:rPr>
          <w:rFonts w:ascii="Times New Roman" w:hAnsi="Times New Roman" w:cs="Times New Roman"/>
          <w:sz w:val="32"/>
          <w:szCs w:val="32"/>
        </w:rPr>
        <w:t xml:space="preserve">  «Теплоенерго»</w:t>
      </w:r>
    </w:p>
    <w:p w:rsidR="00110A48" w:rsidRPr="001C2164" w:rsidRDefault="00110A48" w:rsidP="001C21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C2164">
        <w:rPr>
          <w:rFonts w:ascii="Times New Roman" w:hAnsi="Times New Roman" w:cs="Times New Roman"/>
          <w:sz w:val="32"/>
          <w:szCs w:val="32"/>
        </w:rPr>
        <w:t>на 2019 - 2021 роки</w:t>
      </w:r>
    </w:p>
    <w:p w:rsidR="00110A48" w:rsidRPr="001C2164" w:rsidRDefault="00110A48" w:rsidP="00110A4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545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1C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м. Кременчук</w:t>
      </w:r>
    </w:p>
    <w:p w:rsidR="009545AC" w:rsidRPr="001C2164" w:rsidRDefault="009545AC" w:rsidP="009545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21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1C2164" w:rsidRDefault="009545AC" w:rsidP="000B6E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C21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B6EB2" w:rsidRPr="001C21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заміни аварійних ділянок інженерних мереж</w:t>
      </w:r>
    </w:p>
    <w:p w:rsidR="000B6EB2" w:rsidRPr="001C2164" w:rsidRDefault="00E1520A" w:rsidP="000B6E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C21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теплопостачання та</w:t>
      </w:r>
      <w:r w:rsidR="000B6EB2" w:rsidRPr="001C21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гарячого водопостачання</w:t>
      </w:r>
    </w:p>
    <w:p w:rsidR="000B6EB2" w:rsidRPr="001C2164" w:rsidRDefault="000B6EB2" w:rsidP="000B6E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C21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КП</w:t>
      </w:r>
      <w:proofErr w:type="spellEnd"/>
      <w:r w:rsidRPr="001C21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«Теплоенерго»</w:t>
      </w:r>
    </w:p>
    <w:p w:rsidR="009545AC" w:rsidRPr="001C2164" w:rsidRDefault="000B6EB2" w:rsidP="000B6E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C21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на 2019 - 2021 роки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61"/>
        <w:gridCol w:w="4258"/>
        <w:gridCol w:w="4731"/>
      </w:tblGrid>
      <w:tr w:rsidR="009545AC" w:rsidRPr="001C2164" w:rsidTr="001C2164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Назва програми</w:t>
            </w:r>
          </w:p>
        </w:tc>
        <w:tc>
          <w:tcPr>
            <w:tcW w:w="4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0EF2" w:rsidRPr="001C2164" w:rsidRDefault="00DC0EF2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</w:pPr>
            <w:r w:rsidRPr="001C216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>Заміна аварійних ділянок інженерних мереж</w:t>
            </w:r>
            <w:r w:rsidR="00DD0C65" w:rsidRPr="001C216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 xml:space="preserve"> теплопостачання та гарячого водо</w:t>
            </w:r>
            <w:r w:rsidRPr="001C216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 xml:space="preserve">постачання </w:t>
            </w:r>
            <w:proofErr w:type="spellStart"/>
            <w:r w:rsidRPr="001C216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>КП</w:t>
            </w:r>
            <w:proofErr w:type="spellEnd"/>
            <w:r w:rsidRPr="001C216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 xml:space="preserve"> «Теплоенерго»</w:t>
            </w:r>
          </w:p>
          <w:p w:rsidR="009545AC" w:rsidRPr="001C2164" w:rsidRDefault="00DC0EF2" w:rsidP="001C216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0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ar-SA"/>
              </w:rPr>
              <w:t>на 2019 - 2021 роки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Ініціатор розроблення програми</w:t>
            </w:r>
          </w:p>
        </w:tc>
        <w:tc>
          <w:tcPr>
            <w:tcW w:w="4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1C12B3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Департамент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45AC" w:rsidRPr="001C2164" w:rsidRDefault="009545AC" w:rsidP="009545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Розробник програми</w:t>
            </w:r>
          </w:p>
          <w:p w:rsidR="009545AC" w:rsidRPr="001C2164" w:rsidRDefault="009545AC" w:rsidP="009545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9545AC" w:rsidRPr="001C2164" w:rsidRDefault="009545AC" w:rsidP="009545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Співрозробник</w:t>
            </w:r>
            <w:proofErr w:type="spellEnd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програми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45AC" w:rsidRPr="001C2164" w:rsidRDefault="001C12B3" w:rsidP="009545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КП</w:t>
            </w:r>
            <w:proofErr w:type="spellEnd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«Теплоенерго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9545AC" w:rsidRPr="001C2164" w:rsidRDefault="009545AC" w:rsidP="009545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9545AC" w:rsidRPr="001C2164" w:rsidRDefault="001C12B3" w:rsidP="009545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Департамент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Відповідальні виконавці програми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F0171E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КП</w:t>
            </w:r>
            <w:proofErr w:type="spellEnd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«Теплоенерго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»,</w:t>
            </w:r>
          </w:p>
          <w:p w:rsidR="009545AC" w:rsidRPr="001C2164" w:rsidRDefault="00F0171E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Департамент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Головний розпорядник бюджетних коштів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F0171E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Департамент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Одержувач бюджетних коштів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F0171E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КП</w:t>
            </w:r>
            <w:proofErr w:type="spellEnd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«Теплоенерго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9545AC" w:rsidRPr="001C2164" w:rsidTr="001C2164">
        <w:trPr>
          <w:trHeight w:val="26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Учасники програми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F0171E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Департамент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9545AC" w:rsidRPr="001C2164" w:rsidRDefault="00F0171E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КП</w:t>
            </w:r>
            <w:proofErr w:type="spellEnd"/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«Теплоенерго</w:t>
            </w:r>
            <w:r w:rsidR="009545AC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Термін реалізації програми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F0171E" w:rsidP="001C2164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201</w:t>
            </w:r>
            <w:r w:rsidR="00993E11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9 - 2021</w:t>
            </w: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роки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Місцевий бюджет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Загальний обсяг фінансових ресурсів, необхідних </w:t>
            </w:r>
            <w:r w:rsidR="00311A05"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для реалізації програми, всього 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43338C" w:rsidP="001C2164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47078,71</w:t>
            </w:r>
            <w:r w:rsidR="00F0171E" w:rsidRPr="001C21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545AC" w:rsidRPr="001C21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545AC" w:rsidRPr="001C21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тис. </w:t>
            </w:r>
            <w:r w:rsidR="00F0171E" w:rsidRPr="001C21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грн.</w:t>
            </w:r>
            <w:r w:rsidR="00311A05" w:rsidRPr="001C21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0171E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0171E" w:rsidRPr="001C2164" w:rsidRDefault="00F0171E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10.1.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0171E" w:rsidRPr="001C2164" w:rsidRDefault="00F0171E" w:rsidP="001C2164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Коштів міського бюджету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0171E" w:rsidRPr="001C2164" w:rsidRDefault="00870522" w:rsidP="001C2164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 w:rsidR="0043338C" w:rsidRPr="001C21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7078,71</w:t>
            </w:r>
            <w:r w:rsidR="00F0171E" w:rsidRPr="001C216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F0171E" w:rsidRPr="001C21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тис. грн.</w:t>
            </w:r>
            <w:r w:rsidR="00311A05" w:rsidRPr="001C21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9545AC" w:rsidRPr="001C2164" w:rsidTr="001C2164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10.2.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Коштів інших джерел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45AC" w:rsidRPr="001C2164" w:rsidRDefault="009545AC" w:rsidP="001C2164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                -</w:t>
            </w:r>
          </w:p>
        </w:tc>
      </w:tr>
    </w:tbl>
    <w:p w:rsidR="00993E11" w:rsidRPr="001C2164" w:rsidRDefault="00311A05" w:rsidP="00311A0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*</w:t>
      </w:r>
      <w:r w:rsidRPr="001C2164">
        <w:rPr>
          <w:rFonts w:ascii="Times New Roman" w:hAnsi="Times New Roman" w:cs="Times New Roman"/>
          <w:sz w:val="24"/>
          <w:szCs w:val="24"/>
        </w:rPr>
        <w:t>Розрахунки вартості реалізації Програми  здійснювалися по ціновим пропозиціям 2018 року.</w:t>
      </w:r>
    </w:p>
    <w:p w:rsidR="00993E11" w:rsidRPr="001C2164" w:rsidRDefault="00993E11" w:rsidP="008449F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7B41" w:rsidRPr="001C2164" w:rsidRDefault="00E67B41" w:rsidP="008449F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49F0" w:rsidRPr="001C2164" w:rsidRDefault="008449F0" w:rsidP="001C2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lastRenderedPageBreak/>
        <w:t>ПРОГРАМА</w:t>
      </w:r>
    </w:p>
    <w:p w:rsidR="001C2164" w:rsidRDefault="00993E11" w:rsidP="001C2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заміни ава</w:t>
      </w:r>
      <w:r w:rsidR="001C2164">
        <w:rPr>
          <w:rFonts w:ascii="Times New Roman" w:hAnsi="Times New Roman" w:cs="Times New Roman"/>
          <w:b/>
          <w:sz w:val="28"/>
          <w:szCs w:val="28"/>
        </w:rPr>
        <w:t>рійних ділянок інженерних мереж</w:t>
      </w:r>
    </w:p>
    <w:p w:rsidR="001C2164" w:rsidRDefault="001C2164" w:rsidP="001C2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теплопостачання та </w:t>
      </w:r>
      <w:r w:rsidR="00DD0C65" w:rsidRPr="001C2164">
        <w:rPr>
          <w:rFonts w:ascii="Times New Roman" w:hAnsi="Times New Roman" w:cs="Times New Roman"/>
          <w:b/>
          <w:sz w:val="28"/>
          <w:szCs w:val="28"/>
        </w:rPr>
        <w:t>г</w:t>
      </w:r>
      <w:r w:rsidR="00993E11" w:rsidRPr="001C2164">
        <w:rPr>
          <w:rFonts w:ascii="Times New Roman" w:hAnsi="Times New Roman" w:cs="Times New Roman"/>
          <w:b/>
          <w:sz w:val="28"/>
          <w:szCs w:val="28"/>
        </w:rPr>
        <w:t>арячого водопостачання</w:t>
      </w:r>
    </w:p>
    <w:p w:rsidR="00993E11" w:rsidRPr="001C2164" w:rsidRDefault="00993E11" w:rsidP="001C2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164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1C2164">
        <w:rPr>
          <w:rFonts w:ascii="Times New Roman" w:hAnsi="Times New Roman" w:cs="Times New Roman"/>
          <w:b/>
          <w:sz w:val="28"/>
          <w:szCs w:val="28"/>
        </w:rPr>
        <w:t xml:space="preserve"> «Теплоенерго»</w:t>
      </w:r>
    </w:p>
    <w:p w:rsidR="008449F0" w:rsidRPr="001C2164" w:rsidRDefault="00993E11" w:rsidP="001C2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на 2019 - 2021 роки</w:t>
      </w:r>
    </w:p>
    <w:p w:rsidR="00993E11" w:rsidRPr="001C2164" w:rsidRDefault="00993E11" w:rsidP="00993E1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49F0" w:rsidRPr="001C2164" w:rsidRDefault="00993E11" w:rsidP="008449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8449F0" w:rsidRPr="001C2164" w:rsidRDefault="008449F0" w:rsidP="00844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9F0" w:rsidRPr="001C2164" w:rsidRDefault="008449F0" w:rsidP="00210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В основу реалізації Програми покладено принцип об'єднання зусиль органу місцевого самоврядування та комунального підприємства «Теплоенерго» для вирішення питань щодо надання населенню міста Кременчука якісних послуг </w:t>
      </w:r>
      <w:r w:rsidRPr="001C2164">
        <w:t xml:space="preserve"> </w:t>
      </w:r>
      <w:r w:rsidRPr="001C2164">
        <w:rPr>
          <w:rFonts w:ascii="Times New Roman" w:hAnsi="Times New Roman" w:cs="Times New Roman"/>
          <w:sz w:val="28"/>
          <w:szCs w:val="28"/>
        </w:rPr>
        <w:t xml:space="preserve">з </w:t>
      </w:r>
      <w:r w:rsidR="00DD0C65" w:rsidRPr="001C2164">
        <w:rPr>
          <w:rFonts w:ascii="Times New Roman" w:hAnsi="Times New Roman" w:cs="Times New Roman"/>
          <w:sz w:val="28"/>
          <w:szCs w:val="28"/>
        </w:rPr>
        <w:t xml:space="preserve">теплопостачання та </w:t>
      </w:r>
      <w:r w:rsidRPr="001C2164">
        <w:rPr>
          <w:rFonts w:ascii="Times New Roman" w:hAnsi="Times New Roman" w:cs="Times New Roman"/>
          <w:sz w:val="28"/>
          <w:szCs w:val="28"/>
        </w:rPr>
        <w:t>централізов</w:t>
      </w:r>
      <w:r w:rsidR="00DD0C65" w:rsidRPr="001C2164">
        <w:rPr>
          <w:rFonts w:ascii="Times New Roman" w:hAnsi="Times New Roman" w:cs="Times New Roman"/>
          <w:sz w:val="28"/>
          <w:szCs w:val="28"/>
        </w:rPr>
        <w:t>аного гарячого водопостачання</w:t>
      </w:r>
      <w:r w:rsidRPr="001C2164">
        <w:rPr>
          <w:rFonts w:ascii="Times New Roman" w:hAnsi="Times New Roman" w:cs="Times New Roman"/>
          <w:sz w:val="28"/>
          <w:szCs w:val="28"/>
        </w:rPr>
        <w:t>.</w:t>
      </w:r>
    </w:p>
    <w:p w:rsidR="008449F0" w:rsidRPr="001C2164" w:rsidRDefault="008449F0" w:rsidP="00210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21077A" w:rsidRPr="001C2164">
        <w:rPr>
          <w:rFonts w:ascii="Times New Roman" w:hAnsi="Times New Roman" w:cs="Times New Roman"/>
          <w:sz w:val="28"/>
          <w:szCs w:val="28"/>
        </w:rPr>
        <w:t xml:space="preserve">заміни аварійних ділянок інженерних мереж </w:t>
      </w:r>
      <w:r w:rsidR="00DD0C65" w:rsidRPr="001C2164">
        <w:rPr>
          <w:rFonts w:ascii="Times New Roman" w:hAnsi="Times New Roman" w:cs="Times New Roman"/>
          <w:sz w:val="28"/>
          <w:szCs w:val="28"/>
        </w:rPr>
        <w:t xml:space="preserve">теплопостачання та </w:t>
      </w:r>
      <w:r w:rsidR="0021077A" w:rsidRPr="001C2164">
        <w:rPr>
          <w:rFonts w:ascii="Times New Roman" w:hAnsi="Times New Roman" w:cs="Times New Roman"/>
          <w:sz w:val="28"/>
          <w:szCs w:val="28"/>
        </w:rPr>
        <w:t xml:space="preserve">гарячого водопостачання </w:t>
      </w:r>
      <w:proofErr w:type="spellStart"/>
      <w:r w:rsidR="0021077A"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21077A" w:rsidRPr="001C2164">
        <w:rPr>
          <w:rFonts w:ascii="Times New Roman" w:hAnsi="Times New Roman" w:cs="Times New Roman"/>
          <w:sz w:val="28"/>
          <w:szCs w:val="28"/>
        </w:rPr>
        <w:t xml:space="preserve">  «Теплоенерго»</w:t>
      </w:r>
      <w:r w:rsidR="00E1520A"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21077A" w:rsidRPr="001C2164">
        <w:rPr>
          <w:rFonts w:ascii="Times New Roman" w:hAnsi="Times New Roman" w:cs="Times New Roman"/>
          <w:sz w:val="28"/>
          <w:szCs w:val="28"/>
        </w:rPr>
        <w:t xml:space="preserve">на 2019 - 2021 роки </w:t>
      </w:r>
      <w:r w:rsidRPr="001C2164">
        <w:rPr>
          <w:rFonts w:ascii="Times New Roman" w:hAnsi="Times New Roman" w:cs="Times New Roman"/>
          <w:sz w:val="28"/>
          <w:szCs w:val="28"/>
        </w:rPr>
        <w:t xml:space="preserve">(далі - Програма) розроблена для здійснення ефективних і комплексних заходів щодо заміни аварійних ділянок інженерних мереж </w:t>
      </w:r>
      <w:r w:rsidR="00DD0C65" w:rsidRPr="001C2164">
        <w:rPr>
          <w:rFonts w:ascii="Times New Roman" w:hAnsi="Times New Roman" w:cs="Times New Roman"/>
          <w:sz w:val="28"/>
          <w:szCs w:val="28"/>
        </w:rPr>
        <w:t>теплопостачання та гарячого водопостачання</w:t>
      </w:r>
      <w:r w:rsidRPr="001C2164">
        <w:rPr>
          <w:rFonts w:ascii="Times New Roman" w:hAnsi="Times New Roman" w:cs="Times New Roman"/>
          <w:sz w:val="28"/>
          <w:szCs w:val="28"/>
        </w:rPr>
        <w:t xml:space="preserve">, здійснення аварійних ремонтних робіт, утримання інженерних мереж в належному і придатному до експлуатації стані. </w:t>
      </w:r>
    </w:p>
    <w:p w:rsidR="008449F0" w:rsidRPr="001C2164" w:rsidRDefault="008449F0" w:rsidP="00210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 Програма розроблена на виконання основних вимог Законів України</w:t>
      </w:r>
      <w:r w:rsidR="0021077A" w:rsidRPr="001C2164">
        <w:rPr>
          <w:rFonts w:ascii="Times New Roman" w:hAnsi="Times New Roman" w:cs="Times New Roman"/>
          <w:sz w:val="28"/>
          <w:szCs w:val="28"/>
        </w:rPr>
        <w:t xml:space="preserve"> та чинних нормативних актів.</w:t>
      </w:r>
    </w:p>
    <w:p w:rsidR="009545AC" w:rsidRPr="001C2164" w:rsidRDefault="009545AC" w:rsidP="00210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210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210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AC" w:rsidRPr="001C2164" w:rsidRDefault="009545AC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B8F" w:rsidRPr="001C2164" w:rsidRDefault="00942B8F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B8F" w:rsidRPr="001C2164" w:rsidRDefault="00942B8F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B8F" w:rsidRPr="001C2164" w:rsidRDefault="00942B8F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E11" w:rsidRPr="001C2164" w:rsidRDefault="00993E11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E11" w:rsidRPr="001C2164" w:rsidRDefault="00993E11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E11" w:rsidRPr="001C2164" w:rsidRDefault="00993E11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E11" w:rsidRPr="001C2164" w:rsidRDefault="00993E11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E11" w:rsidRPr="001C2164" w:rsidRDefault="00993E11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E11" w:rsidRPr="001C2164" w:rsidRDefault="00993E11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C65" w:rsidRPr="001C2164" w:rsidRDefault="00DD0C65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E11" w:rsidRPr="001C2164" w:rsidRDefault="00993E11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E11" w:rsidRPr="001C2164" w:rsidRDefault="00993E11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B8F" w:rsidRPr="001C2164" w:rsidRDefault="00A2590B" w:rsidP="009B5F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І. Визначення проблеми, на </w:t>
      </w:r>
      <w:proofErr w:type="spellStart"/>
      <w:r w:rsidRPr="001C2164">
        <w:rPr>
          <w:rFonts w:ascii="Times New Roman" w:hAnsi="Times New Roman" w:cs="Times New Roman"/>
          <w:b/>
          <w:sz w:val="28"/>
          <w:szCs w:val="28"/>
        </w:rPr>
        <w:t>розв</w:t>
      </w:r>
      <w:proofErr w:type="spellEnd"/>
      <w:r w:rsidRPr="001C21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164">
        <w:rPr>
          <w:rFonts w:ascii="Times New Roman" w:hAnsi="Times New Roman" w:cs="Times New Roman"/>
          <w:b/>
          <w:sz w:val="28"/>
          <w:szCs w:val="28"/>
        </w:rPr>
        <w:t>язання</w:t>
      </w:r>
      <w:proofErr w:type="spellEnd"/>
      <w:r w:rsidRPr="001C2164">
        <w:rPr>
          <w:rFonts w:ascii="Times New Roman" w:hAnsi="Times New Roman" w:cs="Times New Roman"/>
          <w:b/>
          <w:sz w:val="28"/>
          <w:szCs w:val="28"/>
        </w:rPr>
        <w:t xml:space="preserve"> якої спрямована Програма.</w:t>
      </w:r>
    </w:p>
    <w:p w:rsidR="00D60FEF" w:rsidRPr="001C2164" w:rsidRDefault="00D60FEF" w:rsidP="009B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C6E" w:rsidRPr="001C2164" w:rsidRDefault="00B304AB" w:rsidP="001C2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Підприємство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«Теплоенерго» (далі Підприємство) відповідно </w:t>
      </w:r>
      <w:r w:rsidR="00AC79A2" w:rsidRPr="001C2164">
        <w:rPr>
          <w:rFonts w:ascii="Times New Roman" w:hAnsi="Times New Roman" w:cs="Times New Roman"/>
          <w:sz w:val="28"/>
          <w:szCs w:val="28"/>
        </w:rPr>
        <w:t xml:space="preserve">до </w:t>
      </w:r>
      <w:r w:rsidRPr="001C2164">
        <w:rPr>
          <w:rFonts w:ascii="Times New Roman" w:hAnsi="Times New Roman" w:cs="Times New Roman"/>
          <w:sz w:val="28"/>
          <w:szCs w:val="28"/>
        </w:rPr>
        <w:t>рішення Виконавчого комітету Кременчуцької міської ради Полтавської області від 16.08.2002 р. № 879</w:t>
      </w:r>
      <w:r w:rsidR="002C7C6C" w:rsidRPr="001C2164">
        <w:rPr>
          <w:rFonts w:ascii="Times New Roman" w:hAnsi="Times New Roman" w:cs="Times New Roman"/>
          <w:sz w:val="28"/>
          <w:szCs w:val="28"/>
        </w:rPr>
        <w:t xml:space="preserve"> здійснює </w:t>
      </w:r>
      <w:r w:rsidR="000A5C6E" w:rsidRPr="001C2164">
        <w:rPr>
          <w:rFonts w:ascii="Times New Roman" w:hAnsi="Times New Roman" w:cs="Times New Roman"/>
          <w:sz w:val="28"/>
          <w:szCs w:val="28"/>
        </w:rPr>
        <w:t xml:space="preserve">постачання теплової енергії та гарячої води мешканцям та підприємствам </w:t>
      </w:r>
      <w:r w:rsidR="002C7C6C" w:rsidRPr="001C2164">
        <w:rPr>
          <w:rFonts w:ascii="Times New Roman" w:hAnsi="Times New Roman" w:cs="Times New Roman"/>
          <w:sz w:val="28"/>
          <w:szCs w:val="28"/>
        </w:rPr>
        <w:t xml:space="preserve">м. Кременчука. </w:t>
      </w:r>
      <w:r w:rsidR="00644CD0" w:rsidRPr="001C2164">
        <w:rPr>
          <w:rFonts w:ascii="Times New Roman" w:hAnsi="Times New Roman" w:cs="Times New Roman"/>
          <w:sz w:val="28"/>
          <w:szCs w:val="28"/>
        </w:rPr>
        <w:t>Підприємство з</w:t>
      </w:r>
      <w:r w:rsidR="000A5C6E" w:rsidRPr="001C2164">
        <w:rPr>
          <w:rFonts w:ascii="Times New Roman" w:hAnsi="Times New Roman" w:cs="Times New Roman"/>
          <w:sz w:val="28"/>
          <w:szCs w:val="28"/>
        </w:rPr>
        <w:t>абезпечує стабільне функціонування та експлуатацію котельних, теплових пунктів, та теплових мереж, проводить поточний ремонт та капітальний ремонти об’єктів теплового господарства.</w:t>
      </w:r>
    </w:p>
    <w:p w:rsidR="000A5C6E" w:rsidRPr="001C2164" w:rsidRDefault="000A5C6E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На балансі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1C2164">
        <w:rPr>
          <w:rFonts w:ascii="Times New Roman" w:hAnsi="Times New Roman" w:cs="Times New Roman"/>
          <w:sz w:val="28"/>
          <w:szCs w:val="28"/>
        </w:rPr>
        <w:t>«</w:t>
      </w:r>
      <w:r w:rsidRPr="001C2164">
        <w:rPr>
          <w:rFonts w:ascii="Times New Roman" w:hAnsi="Times New Roman" w:cs="Times New Roman"/>
          <w:sz w:val="28"/>
          <w:szCs w:val="28"/>
        </w:rPr>
        <w:t>Теплоенерго</w:t>
      </w:r>
      <w:r w:rsidR="001C2164">
        <w:rPr>
          <w:rFonts w:ascii="Times New Roman" w:hAnsi="Times New Roman" w:cs="Times New Roman"/>
          <w:sz w:val="28"/>
          <w:szCs w:val="28"/>
        </w:rPr>
        <w:t>»</w:t>
      </w:r>
      <w:r w:rsidRPr="001C2164">
        <w:rPr>
          <w:rFonts w:ascii="Times New Roman" w:hAnsi="Times New Roman" w:cs="Times New Roman"/>
          <w:sz w:val="28"/>
          <w:szCs w:val="28"/>
        </w:rPr>
        <w:t xml:space="preserve"> станом на 29.06.2017 року знаходиться 18 котельних, в тому числі 2 дахові, 46 центральних теплових пунктів, 217,641 км трубопроводів центрального опалення та гарячого водопостачання в 2-х трубному обчисленні.</w:t>
      </w:r>
      <w:r w:rsidR="00B304AB" w:rsidRPr="001C2164">
        <w:t xml:space="preserve"> </w:t>
      </w:r>
      <w:r w:rsidR="00B304AB" w:rsidRPr="001C2164">
        <w:rPr>
          <w:rFonts w:ascii="Times New Roman" w:hAnsi="Times New Roman" w:cs="Times New Roman"/>
          <w:sz w:val="28"/>
          <w:szCs w:val="28"/>
        </w:rPr>
        <w:t>Середньооблікова чисельність працівників становить 364 особи.</w:t>
      </w:r>
    </w:p>
    <w:p w:rsidR="000A5C6E" w:rsidRPr="001C2164" w:rsidRDefault="000A5C6E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На 18 котельних встановлено 42 котли різної теплопродуктивності</w:t>
      </w:r>
      <w:r w:rsidR="001414C8" w:rsidRPr="001C2164">
        <w:rPr>
          <w:rFonts w:ascii="Times New Roman" w:hAnsi="Times New Roman" w:cs="Times New Roman"/>
          <w:sz w:val="28"/>
          <w:szCs w:val="28"/>
        </w:rPr>
        <w:t xml:space="preserve">. </w:t>
      </w:r>
      <w:r w:rsidRPr="001C2164">
        <w:rPr>
          <w:rFonts w:ascii="Times New Roman" w:hAnsi="Times New Roman" w:cs="Times New Roman"/>
          <w:sz w:val="28"/>
          <w:szCs w:val="28"/>
        </w:rPr>
        <w:t>Встановлена потужність котелень – 84,222 Гкал/год. Всі котельні працюють на газоподібному паливі, 12 котелень надають послугу тільки в опалювальний сезон, 6 котелень працюють протягом року.</w:t>
      </w:r>
    </w:p>
    <w:p w:rsidR="000A5C6E" w:rsidRPr="001C2164" w:rsidRDefault="000A5C6E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Гаряче водопостачання від котельні кварталу 176 вул. Говорова 29А від центрального теплового пункту, який побудовано поруч з котельною.</w:t>
      </w:r>
    </w:p>
    <w:p w:rsidR="000A5C6E" w:rsidRPr="001C2164" w:rsidRDefault="001414C8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На шести котельних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водо</w:t>
      </w:r>
      <w:r w:rsidR="000A5C6E" w:rsidRPr="001C2164">
        <w:rPr>
          <w:rFonts w:ascii="Times New Roman" w:hAnsi="Times New Roman" w:cs="Times New Roman"/>
          <w:sz w:val="28"/>
          <w:szCs w:val="28"/>
        </w:rPr>
        <w:t>підігрівальні</w:t>
      </w:r>
      <w:proofErr w:type="spellEnd"/>
      <w:r w:rsidR="000A5C6E" w:rsidRPr="001C2164">
        <w:rPr>
          <w:rFonts w:ascii="Times New Roman" w:hAnsi="Times New Roman" w:cs="Times New Roman"/>
          <w:sz w:val="28"/>
          <w:szCs w:val="28"/>
        </w:rPr>
        <w:t xml:space="preserve"> установки змонтовані, безпосередньо в котельних:</w:t>
      </w:r>
    </w:p>
    <w:p w:rsidR="000A5C6E" w:rsidRPr="001C2164" w:rsidRDefault="000A5C6E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          вул. Мічуріна, буд. 89А;</w:t>
      </w:r>
    </w:p>
    <w:p w:rsidR="000A5C6E" w:rsidRPr="001C2164" w:rsidRDefault="000A5C6E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          вул. Івана Приходька, буд. 101А;</w:t>
      </w:r>
    </w:p>
    <w:p w:rsidR="000A5C6E" w:rsidRPr="001C2164" w:rsidRDefault="000A5C6E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          вул. Європейська, буд. 68А (дахова);</w:t>
      </w:r>
    </w:p>
    <w:p w:rsidR="000A5C6E" w:rsidRPr="001C2164" w:rsidRDefault="000A5C6E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          вул. квартал 101, буд. 10Б (дахова);</w:t>
      </w:r>
    </w:p>
    <w:p w:rsidR="000A5C6E" w:rsidRPr="001C2164" w:rsidRDefault="000A5C6E" w:rsidP="000A5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          вул. Майора Борищака 20/3.</w:t>
      </w:r>
    </w:p>
    <w:p w:rsidR="00644CD0" w:rsidRPr="001C2164" w:rsidRDefault="000A5C6E" w:rsidP="001C2164">
      <w:pPr>
        <w:spacing w:after="0"/>
        <w:ind w:firstLine="708"/>
        <w:jc w:val="both"/>
      </w:pPr>
      <w:r w:rsidRPr="001C2164">
        <w:rPr>
          <w:rFonts w:ascii="Times New Roman" w:hAnsi="Times New Roman" w:cs="Times New Roman"/>
          <w:sz w:val="28"/>
          <w:szCs w:val="28"/>
        </w:rPr>
        <w:t>На котельні кварталу 17</w:t>
      </w:r>
      <w:r w:rsidR="00AC79A2" w:rsidRPr="001C2164">
        <w:rPr>
          <w:rFonts w:ascii="Times New Roman" w:hAnsi="Times New Roman" w:cs="Times New Roman"/>
          <w:sz w:val="28"/>
          <w:szCs w:val="28"/>
        </w:rPr>
        <w:t xml:space="preserve"> за адресою </w:t>
      </w:r>
      <w:r w:rsidRPr="001C2164">
        <w:rPr>
          <w:rFonts w:ascii="Times New Roman" w:hAnsi="Times New Roman" w:cs="Times New Roman"/>
          <w:sz w:val="28"/>
          <w:szCs w:val="28"/>
        </w:rPr>
        <w:t>вул. Івана Приходько</w:t>
      </w:r>
      <w:r w:rsidR="00AC79A2" w:rsidRPr="001C2164">
        <w:rPr>
          <w:rFonts w:ascii="Times New Roman" w:hAnsi="Times New Roman" w:cs="Times New Roman"/>
          <w:sz w:val="28"/>
          <w:szCs w:val="28"/>
        </w:rPr>
        <w:t>,</w:t>
      </w:r>
      <w:r w:rsidRPr="001C2164">
        <w:rPr>
          <w:rFonts w:ascii="Times New Roman" w:hAnsi="Times New Roman" w:cs="Times New Roman"/>
          <w:sz w:val="28"/>
          <w:szCs w:val="28"/>
        </w:rPr>
        <w:t xml:space="preserve"> 30А схема теплопостачання кварталу двохтрубна. Гаряче водопостачання кварталу поступає від індивідуальних теплових пунктів, які розташовані в підвалах житлових будинків.</w:t>
      </w:r>
      <w:r w:rsidR="001414C8"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1C2164">
        <w:rPr>
          <w:rFonts w:ascii="Times New Roman" w:hAnsi="Times New Roman" w:cs="Times New Roman"/>
          <w:sz w:val="28"/>
          <w:szCs w:val="28"/>
        </w:rPr>
        <w:t>Індивідуальні теплові пункти знаходяться на балансі житлових організацій і обслуговуються їх персоналом.</w:t>
      </w:r>
      <w:r w:rsidR="00644CD0" w:rsidRPr="001C2164">
        <w:t xml:space="preserve"> </w:t>
      </w:r>
    </w:p>
    <w:p w:rsidR="00644CD0" w:rsidRPr="001C2164" w:rsidRDefault="00611F2D" w:rsidP="001C2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На підприємстві встановлено основне </w:t>
      </w:r>
      <w:r w:rsidR="00644CD0" w:rsidRPr="001C2164">
        <w:rPr>
          <w:rFonts w:ascii="Times New Roman" w:hAnsi="Times New Roman" w:cs="Times New Roman"/>
          <w:sz w:val="28"/>
          <w:szCs w:val="28"/>
        </w:rPr>
        <w:t>енергетичне обладнання котелень –</w:t>
      </w:r>
      <w:r w:rsidRPr="001C2164">
        <w:rPr>
          <w:rFonts w:ascii="Times New Roman" w:hAnsi="Times New Roman" w:cs="Times New Roman"/>
          <w:sz w:val="28"/>
          <w:szCs w:val="28"/>
        </w:rPr>
        <w:t xml:space="preserve"> це котли, а саме</w:t>
      </w:r>
      <w:r w:rsidR="00644CD0" w:rsidRPr="001C2164">
        <w:rPr>
          <w:rFonts w:ascii="Times New Roman" w:hAnsi="Times New Roman" w:cs="Times New Roman"/>
          <w:sz w:val="28"/>
          <w:szCs w:val="28"/>
        </w:rPr>
        <w:t>:</w:t>
      </w:r>
    </w:p>
    <w:p w:rsidR="00DD0C65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DD0C65" w:rsidRPr="001C2164">
        <w:rPr>
          <w:rFonts w:ascii="Times New Roman" w:hAnsi="Times New Roman" w:cs="Times New Roman"/>
          <w:sz w:val="28"/>
          <w:szCs w:val="28"/>
        </w:rPr>
        <w:t xml:space="preserve">КВ-Г-5,2-115СН </w:t>
      </w:r>
      <w:r w:rsidR="001C2164">
        <w:rPr>
          <w:rFonts w:ascii="Times New Roman" w:hAnsi="Times New Roman" w:cs="Times New Roman"/>
          <w:sz w:val="28"/>
          <w:szCs w:val="28"/>
        </w:rPr>
        <w:t>«</w:t>
      </w:r>
      <w:r w:rsidR="00DD0C65" w:rsidRPr="001C2164">
        <w:rPr>
          <w:rFonts w:ascii="Times New Roman" w:hAnsi="Times New Roman" w:cs="Times New Roman"/>
          <w:sz w:val="28"/>
          <w:szCs w:val="28"/>
        </w:rPr>
        <w:t>Грач</w:t>
      </w:r>
      <w:r w:rsidR="001C2164">
        <w:rPr>
          <w:rFonts w:ascii="Times New Roman" w:hAnsi="Times New Roman" w:cs="Times New Roman"/>
          <w:sz w:val="28"/>
          <w:szCs w:val="28"/>
        </w:rPr>
        <w:t>»</w:t>
      </w:r>
      <w:r w:rsidR="00DD0C65"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FC1F1D" w:rsidRPr="001C2164">
        <w:rPr>
          <w:rFonts w:ascii="Times New Roman" w:hAnsi="Times New Roman" w:cs="Times New Roman"/>
          <w:sz w:val="28"/>
          <w:szCs w:val="28"/>
        </w:rPr>
        <w:t xml:space="preserve">- </w:t>
      </w:r>
      <w:r w:rsidR="00DD0C65" w:rsidRPr="001C2164">
        <w:rPr>
          <w:rFonts w:ascii="Times New Roman" w:hAnsi="Times New Roman" w:cs="Times New Roman"/>
          <w:sz w:val="28"/>
          <w:szCs w:val="28"/>
        </w:rPr>
        <w:t xml:space="preserve">3 шт., </w:t>
      </w:r>
      <w:r w:rsidR="00FC1F1D" w:rsidRPr="001C2164">
        <w:rPr>
          <w:rFonts w:ascii="Times New Roman" w:hAnsi="Times New Roman" w:cs="Times New Roman"/>
          <w:sz w:val="28"/>
          <w:szCs w:val="28"/>
        </w:rPr>
        <w:t>котельня кварталу 620;</w:t>
      </w:r>
    </w:p>
    <w:p w:rsidR="00DD0C65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DD0C65" w:rsidRPr="001C2164">
        <w:rPr>
          <w:rFonts w:ascii="Times New Roman" w:hAnsi="Times New Roman" w:cs="Times New Roman"/>
          <w:sz w:val="28"/>
          <w:szCs w:val="28"/>
        </w:rPr>
        <w:t xml:space="preserve">КВГ-7,56-150 </w:t>
      </w:r>
      <w:r w:rsidR="00FC1F1D" w:rsidRPr="001C2164">
        <w:rPr>
          <w:rFonts w:ascii="Times New Roman" w:hAnsi="Times New Roman" w:cs="Times New Roman"/>
          <w:sz w:val="28"/>
          <w:szCs w:val="28"/>
        </w:rPr>
        <w:t>-</w:t>
      </w:r>
      <w:r w:rsidR="00DD0C65" w:rsidRPr="001C2164">
        <w:rPr>
          <w:rFonts w:ascii="Times New Roman" w:hAnsi="Times New Roman" w:cs="Times New Roman"/>
          <w:sz w:val="28"/>
          <w:szCs w:val="28"/>
        </w:rPr>
        <w:t xml:space="preserve"> 3 шт.</w:t>
      </w:r>
      <w:r w:rsidR="00FC1F1D" w:rsidRPr="001C2164">
        <w:rPr>
          <w:rFonts w:ascii="Times New Roman" w:hAnsi="Times New Roman" w:cs="Times New Roman"/>
          <w:sz w:val="28"/>
          <w:szCs w:val="28"/>
        </w:rPr>
        <w:t>, котельня кварталу 17;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 xml:space="preserve">VITOMAX-200-LX </w:t>
      </w:r>
      <w:r w:rsidR="00FC1F1D" w:rsidRPr="001C2164">
        <w:rPr>
          <w:rFonts w:ascii="Times New Roman" w:hAnsi="Times New Roman" w:cs="Times New Roman"/>
          <w:sz w:val="28"/>
          <w:szCs w:val="28"/>
        </w:rPr>
        <w:t>– 2 шт., котельня кварталу 176;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Vitoplex -200  тип SX2A</w:t>
      </w:r>
      <w:r w:rsidR="00FC1F1D" w:rsidRPr="001C2164">
        <w:rPr>
          <w:rFonts w:ascii="Times New Roman" w:hAnsi="Times New Roman" w:cs="Times New Roman"/>
          <w:sz w:val="28"/>
          <w:szCs w:val="28"/>
        </w:rPr>
        <w:t xml:space="preserve"> – 2 шт., котельня </w:t>
      </w:r>
      <w:proofErr w:type="spellStart"/>
      <w:r w:rsidR="00FC1F1D" w:rsidRPr="001C2164">
        <w:rPr>
          <w:rFonts w:ascii="Times New Roman" w:hAnsi="Times New Roman" w:cs="Times New Roman"/>
          <w:sz w:val="28"/>
          <w:szCs w:val="28"/>
        </w:rPr>
        <w:t>Пождепо</w:t>
      </w:r>
      <w:proofErr w:type="spellEnd"/>
      <w:r w:rsidR="00FC1F1D" w:rsidRPr="001C2164">
        <w:rPr>
          <w:rFonts w:ascii="Times New Roman" w:hAnsi="Times New Roman" w:cs="Times New Roman"/>
          <w:sz w:val="28"/>
          <w:szCs w:val="28"/>
        </w:rPr>
        <w:t>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КВ-ГМ-5,8</w:t>
      </w:r>
      <w:r w:rsidR="00FC1F1D" w:rsidRPr="001C2164">
        <w:rPr>
          <w:rFonts w:ascii="Times New Roman" w:hAnsi="Times New Roman" w:cs="Times New Roman"/>
          <w:sz w:val="28"/>
          <w:szCs w:val="28"/>
        </w:rPr>
        <w:t xml:space="preserve"> – 3 шт., котельня кварталу 142-143;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16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Факел</w:t>
      </w:r>
      <w:proofErr w:type="spellEnd"/>
      <w:r w:rsidR="00611F2D" w:rsidRPr="001C2164">
        <w:rPr>
          <w:rFonts w:ascii="Times New Roman" w:hAnsi="Times New Roman" w:cs="Times New Roman"/>
          <w:sz w:val="28"/>
          <w:szCs w:val="28"/>
        </w:rPr>
        <w:t xml:space="preserve"> 1Г</w:t>
      </w:r>
      <w:r w:rsidR="00FC1F1D" w:rsidRPr="001C2164">
        <w:rPr>
          <w:rFonts w:ascii="Times New Roman" w:hAnsi="Times New Roman" w:cs="Times New Roman"/>
          <w:sz w:val="28"/>
          <w:szCs w:val="28"/>
        </w:rPr>
        <w:t xml:space="preserve"> – 2 шт., котельня СШ №7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ВК – 21</w:t>
      </w:r>
      <w:r w:rsidR="00FC1F1D" w:rsidRPr="001C2164">
        <w:rPr>
          <w:rFonts w:ascii="Times New Roman" w:hAnsi="Times New Roman" w:cs="Times New Roman"/>
          <w:sz w:val="28"/>
          <w:szCs w:val="28"/>
        </w:rPr>
        <w:t xml:space="preserve"> – 2 шт., котельня Хлібної бази №81;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Vitoplex 100 PV 1</w:t>
      </w:r>
      <w:r w:rsidR="00FC1F1D" w:rsidRPr="001C2164">
        <w:rPr>
          <w:rFonts w:ascii="Times New Roman" w:hAnsi="Times New Roman" w:cs="Times New Roman"/>
          <w:sz w:val="28"/>
          <w:szCs w:val="28"/>
        </w:rPr>
        <w:t xml:space="preserve"> – 2 шт., котельня СШ №21;</w:t>
      </w:r>
    </w:p>
    <w:p w:rsidR="00FC1F1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FC1F1D" w:rsidRPr="001C2164">
        <w:rPr>
          <w:rFonts w:ascii="Times New Roman" w:hAnsi="Times New Roman" w:cs="Times New Roman"/>
          <w:sz w:val="28"/>
          <w:szCs w:val="28"/>
        </w:rPr>
        <w:t>Факел</w:t>
      </w:r>
      <w:proofErr w:type="spellEnd"/>
      <w:r w:rsidR="00FC1F1D" w:rsidRPr="001C2164">
        <w:rPr>
          <w:rFonts w:ascii="Times New Roman" w:hAnsi="Times New Roman" w:cs="Times New Roman"/>
          <w:sz w:val="28"/>
          <w:szCs w:val="28"/>
        </w:rPr>
        <w:t xml:space="preserve"> 1Г – 1 шт., котельня СШ №21;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SUPERAC-520</w:t>
      </w:r>
      <w:r w:rsidR="00FC1F1D" w:rsidRPr="001C2164">
        <w:rPr>
          <w:rFonts w:ascii="Times New Roman" w:hAnsi="Times New Roman" w:cs="Times New Roman"/>
          <w:sz w:val="28"/>
          <w:szCs w:val="28"/>
        </w:rPr>
        <w:t xml:space="preserve"> - 2 шт., котельня Управління зрошувальних систем;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Superac-230</w:t>
      </w:r>
      <w:r w:rsidR="00FC1F1D" w:rsidRPr="001C2164">
        <w:rPr>
          <w:rFonts w:ascii="Times New Roman" w:hAnsi="Times New Roman" w:cs="Times New Roman"/>
          <w:sz w:val="28"/>
          <w:szCs w:val="28"/>
        </w:rPr>
        <w:t xml:space="preserve"> – 1 </w:t>
      </w:r>
      <w:r w:rsidRPr="001C2164">
        <w:rPr>
          <w:rFonts w:ascii="Times New Roman" w:hAnsi="Times New Roman" w:cs="Times New Roman"/>
          <w:sz w:val="28"/>
          <w:szCs w:val="28"/>
        </w:rPr>
        <w:t>шт., дахова котельня, вул.</w:t>
      </w:r>
      <w:r w:rsidR="00633914">
        <w:rPr>
          <w:rFonts w:ascii="Times New Roman" w:hAnsi="Times New Roman" w:cs="Times New Roman"/>
          <w:sz w:val="28"/>
          <w:szCs w:val="28"/>
        </w:rPr>
        <w:t xml:space="preserve"> </w:t>
      </w:r>
      <w:r w:rsidRPr="001C2164">
        <w:rPr>
          <w:rFonts w:ascii="Times New Roman" w:hAnsi="Times New Roman" w:cs="Times New Roman"/>
          <w:sz w:val="28"/>
          <w:szCs w:val="28"/>
        </w:rPr>
        <w:t>Європейська, 68-а;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Superac-345</w:t>
      </w:r>
      <w:r w:rsidRPr="001C2164">
        <w:rPr>
          <w:rFonts w:ascii="Times New Roman" w:hAnsi="Times New Roman" w:cs="Times New Roman"/>
          <w:sz w:val="28"/>
          <w:szCs w:val="28"/>
        </w:rPr>
        <w:t xml:space="preserve"> – 1 шт., дахова котельня, вул.</w:t>
      </w:r>
      <w:r w:rsidR="00633914">
        <w:rPr>
          <w:rFonts w:ascii="Times New Roman" w:hAnsi="Times New Roman" w:cs="Times New Roman"/>
          <w:sz w:val="28"/>
          <w:szCs w:val="28"/>
        </w:rPr>
        <w:t xml:space="preserve"> </w:t>
      </w:r>
      <w:r w:rsidRPr="001C2164">
        <w:rPr>
          <w:rFonts w:ascii="Times New Roman" w:hAnsi="Times New Roman" w:cs="Times New Roman"/>
          <w:sz w:val="28"/>
          <w:szCs w:val="28"/>
        </w:rPr>
        <w:t>Європейська, 68-а;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COMPACT SA 300</w:t>
      </w:r>
      <w:r w:rsidRPr="001C2164">
        <w:rPr>
          <w:rFonts w:ascii="Times New Roman" w:hAnsi="Times New Roman" w:cs="Times New Roman"/>
          <w:sz w:val="28"/>
          <w:szCs w:val="28"/>
        </w:rPr>
        <w:t xml:space="preserve"> – 1 шт., дахова котельня кварталу 101;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COMPACT SA 250</w:t>
      </w:r>
      <w:r w:rsidRPr="001C2164">
        <w:rPr>
          <w:rFonts w:ascii="Times New Roman" w:hAnsi="Times New Roman" w:cs="Times New Roman"/>
          <w:sz w:val="28"/>
          <w:szCs w:val="28"/>
        </w:rPr>
        <w:t xml:space="preserve">  - 1 шт., дахова котельня кварталу 101;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АОГВ-100</w:t>
      </w:r>
      <w:r w:rsidRPr="001C2164">
        <w:rPr>
          <w:rFonts w:ascii="Times New Roman" w:hAnsi="Times New Roman" w:cs="Times New Roman"/>
          <w:sz w:val="28"/>
          <w:szCs w:val="28"/>
        </w:rPr>
        <w:t xml:space="preserve"> – 2 шт., котельня ЗОШ №2;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МАЯК-30Е</w:t>
      </w:r>
      <w:r w:rsidRPr="001C2164">
        <w:rPr>
          <w:rFonts w:ascii="Times New Roman" w:hAnsi="Times New Roman" w:cs="Times New Roman"/>
          <w:sz w:val="28"/>
          <w:szCs w:val="28"/>
        </w:rPr>
        <w:t xml:space="preserve"> – 2 шт., котельня ЗОШ №24;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КОЛВІ-30</w:t>
      </w:r>
      <w:r w:rsidRPr="001C2164">
        <w:rPr>
          <w:rFonts w:ascii="Times New Roman" w:hAnsi="Times New Roman" w:cs="Times New Roman"/>
          <w:sz w:val="28"/>
          <w:szCs w:val="28"/>
        </w:rPr>
        <w:t xml:space="preserve"> – 2 шт., котельня ДНЗ №4;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 xml:space="preserve">НОМ-3 </w:t>
      </w:r>
      <w:proofErr w:type="spellStart"/>
      <w:r w:rsidR="00611F2D" w:rsidRPr="001C2164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– 2 шт., котельня СШ №24;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КС-Г-100</w:t>
      </w:r>
      <w:r w:rsidRPr="001C2164">
        <w:rPr>
          <w:rFonts w:ascii="Times New Roman" w:hAnsi="Times New Roman" w:cs="Times New Roman"/>
          <w:sz w:val="28"/>
          <w:szCs w:val="28"/>
        </w:rPr>
        <w:t xml:space="preserve"> – 2 шт., котельня СШ №24;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>Riello RTQ-1000</w:t>
      </w:r>
      <w:r w:rsidRPr="001C2164">
        <w:rPr>
          <w:rFonts w:ascii="Times New Roman" w:hAnsi="Times New Roman" w:cs="Times New Roman"/>
          <w:sz w:val="28"/>
          <w:szCs w:val="28"/>
        </w:rPr>
        <w:t xml:space="preserve"> – 2 шт., котельня Пологового будинку;</w:t>
      </w:r>
    </w:p>
    <w:p w:rsidR="00611F2D" w:rsidRPr="001C2164" w:rsidRDefault="00B54208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-</w:t>
      </w:r>
      <w:r w:rsidR="00611F2D" w:rsidRPr="001C2164">
        <w:rPr>
          <w:rFonts w:ascii="Times New Roman" w:hAnsi="Times New Roman" w:cs="Times New Roman"/>
          <w:sz w:val="28"/>
          <w:szCs w:val="28"/>
        </w:rPr>
        <w:t xml:space="preserve">Nova </w:t>
      </w:r>
      <w:proofErr w:type="spellStart"/>
      <w:r w:rsidR="00611F2D" w:rsidRPr="001C2164">
        <w:rPr>
          <w:rFonts w:ascii="Times New Roman" w:hAnsi="Times New Roman" w:cs="Times New Roman"/>
          <w:sz w:val="28"/>
          <w:szCs w:val="28"/>
        </w:rPr>
        <w:t>Florida</w:t>
      </w:r>
      <w:proofErr w:type="spellEnd"/>
      <w:r w:rsidR="00611F2D" w:rsidRPr="001C2164">
        <w:rPr>
          <w:rFonts w:ascii="Times New Roman" w:hAnsi="Times New Roman" w:cs="Times New Roman"/>
          <w:sz w:val="28"/>
          <w:szCs w:val="28"/>
        </w:rPr>
        <w:t xml:space="preserve"> ALTAIR RTN № Е 99</w:t>
      </w:r>
      <w:r w:rsidRPr="001C2164">
        <w:rPr>
          <w:rFonts w:ascii="Times New Roman" w:hAnsi="Times New Roman" w:cs="Times New Roman"/>
          <w:sz w:val="28"/>
          <w:szCs w:val="28"/>
        </w:rPr>
        <w:t xml:space="preserve"> – 2шт., котельня по вул. Академіка </w:t>
      </w:r>
      <w:r w:rsidR="00DF7B61" w:rsidRPr="001C2164">
        <w:rPr>
          <w:rFonts w:ascii="Times New Roman" w:hAnsi="Times New Roman" w:cs="Times New Roman"/>
          <w:sz w:val="28"/>
          <w:szCs w:val="28"/>
        </w:rPr>
        <w:t xml:space="preserve">  </w:t>
      </w:r>
      <w:r w:rsidR="00633914" w:rsidRPr="001C2164">
        <w:rPr>
          <w:rFonts w:ascii="Times New Roman" w:hAnsi="Times New Roman" w:cs="Times New Roman"/>
          <w:sz w:val="28"/>
          <w:szCs w:val="28"/>
        </w:rPr>
        <w:t>Герасимовича</w:t>
      </w:r>
      <w:r w:rsidRPr="001C2164">
        <w:rPr>
          <w:rFonts w:ascii="Times New Roman" w:hAnsi="Times New Roman" w:cs="Times New Roman"/>
          <w:sz w:val="28"/>
          <w:szCs w:val="28"/>
        </w:rPr>
        <w:t>, 2-а.</w:t>
      </w:r>
    </w:p>
    <w:p w:rsidR="00644CD0" w:rsidRPr="001C2164" w:rsidRDefault="00644CD0" w:rsidP="001C2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Основне та допоміжне обладнання котелень знаходиться у </w:t>
      </w:r>
      <w:r w:rsidR="00DF7B61" w:rsidRPr="001C2164">
        <w:rPr>
          <w:rFonts w:ascii="Times New Roman" w:hAnsi="Times New Roman" w:cs="Times New Roman"/>
          <w:sz w:val="28"/>
          <w:szCs w:val="28"/>
        </w:rPr>
        <w:t>робочому</w:t>
      </w:r>
      <w:r w:rsidRPr="001C2164">
        <w:rPr>
          <w:rFonts w:ascii="Times New Roman" w:hAnsi="Times New Roman" w:cs="Times New Roman"/>
          <w:sz w:val="28"/>
          <w:szCs w:val="28"/>
        </w:rPr>
        <w:t xml:space="preserve"> стані. За останні 8 років на підприємстві повністю замінені котли НІІСТУ-5 на котли імпортного виробництва з К.К.Д. котлів 92-94%.</w:t>
      </w:r>
    </w:p>
    <w:p w:rsidR="00644CD0" w:rsidRPr="001C2164" w:rsidRDefault="00644CD0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Крім реалізації теплової енергії, виробленої на власних джерелах, підприємство закуповує теплову енергію вироблену на ТЕЦ ПАТ </w:t>
      </w:r>
      <w:r w:rsidR="00633914">
        <w:rPr>
          <w:rFonts w:ascii="Times New Roman" w:hAnsi="Times New Roman" w:cs="Times New Roman"/>
          <w:sz w:val="28"/>
          <w:szCs w:val="28"/>
        </w:rPr>
        <w:t>«</w:t>
      </w:r>
      <w:r w:rsidRPr="001C2164">
        <w:rPr>
          <w:rFonts w:ascii="Times New Roman" w:hAnsi="Times New Roman" w:cs="Times New Roman"/>
          <w:sz w:val="28"/>
          <w:szCs w:val="28"/>
        </w:rPr>
        <w:t>Крюківський вагонобудівний завод</w:t>
      </w:r>
      <w:r w:rsidR="00633914">
        <w:rPr>
          <w:rFonts w:ascii="Times New Roman" w:hAnsi="Times New Roman" w:cs="Times New Roman"/>
          <w:sz w:val="28"/>
          <w:szCs w:val="28"/>
        </w:rPr>
        <w:t>»</w:t>
      </w:r>
      <w:r w:rsidRPr="001C2164">
        <w:rPr>
          <w:rFonts w:ascii="Times New Roman" w:hAnsi="Times New Roman" w:cs="Times New Roman"/>
          <w:sz w:val="28"/>
          <w:szCs w:val="28"/>
        </w:rPr>
        <w:t xml:space="preserve"> (далі ПАТ </w:t>
      </w:r>
      <w:r w:rsidR="00633914">
        <w:rPr>
          <w:rFonts w:ascii="Times New Roman" w:hAnsi="Times New Roman" w:cs="Times New Roman"/>
          <w:sz w:val="28"/>
          <w:szCs w:val="28"/>
        </w:rPr>
        <w:t>«</w:t>
      </w:r>
      <w:r w:rsidRPr="001C2164">
        <w:rPr>
          <w:rFonts w:ascii="Times New Roman" w:hAnsi="Times New Roman" w:cs="Times New Roman"/>
          <w:sz w:val="28"/>
          <w:szCs w:val="28"/>
        </w:rPr>
        <w:t>КВБЗ</w:t>
      </w:r>
      <w:r w:rsidR="00633914">
        <w:rPr>
          <w:rFonts w:ascii="Times New Roman" w:hAnsi="Times New Roman" w:cs="Times New Roman"/>
          <w:sz w:val="28"/>
          <w:szCs w:val="28"/>
        </w:rPr>
        <w:t>»</w:t>
      </w:r>
      <w:r w:rsidRPr="001C2164">
        <w:rPr>
          <w:rFonts w:ascii="Times New Roman" w:hAnsi="Times New Roman" w:cs="Times New Roman"/>
          <w:sz w:val="28"/>
          <w:szCs w:val="28"/>
        </w:rPr>
        <w:t>) та реалізовує її споживачам для потреб опалення та гарячого водопостачання на правому березі Кременчука.</w:t>
      </w:r>
    </w:p>
    <w:p w:rsidR="00644CD0" w:rsidRPr="001C2164" w:rsidRDefault="00644CD0" w:rsidP="00644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Транспортування теплової енергії від ТЕЦ ПАТ </w:t>
      </w:r>
      <w:r w:rsidR="00633914">
        <w:rPr>
          <w:rFonts w:ascii="Times New Roman" w:hAnsi="Times New Roman" w:cs="Times New Roman"/>
          <w:sz w:val="28"/>
          <w:szCs w:val="28"/>
        </w:rPr>
        <w:t>«</w:t>
      </w:r>
      <w:r w:rsidRPr="001C2164">
        <w:rPr>
          <w:rFonts w:ascii="Times New Roman" w:hAnsi="Times New Roman" w:cs="Times New Roman"/>
          <w:sz w:val="28"/>
          <w:szCs w:val="28"/>
        </w:rPr>
        <w:t>КВБЗ</w:t>
      </w:r>
      <w:r w:rsidR="00633914">
        <w:rPr>
          <w:rFonts w:ascii="Times New Roman" w:hAnsi="Times New Roman" w:cs="Times New Roman"/>
          <w:sz w:val="28"/>
          <w:szCs w:val="28"/>
        </w:rPr>
        <w:t>»</w:t>
      </w:r>
      <w:r w:rsidRPr="001C2164">
        <w:rPr>
          <w:rFonts w:ascii="Times New Roman" w:hAnsi="Times New Roman" w:cs="Times New Roman"/>
          <w:sz w:val="28"/>
          <w:szCs w:val="28"/>
        </w:rPr>
        <w:t xml:space="preserve"> здійснюється по магістральних та розподільчих теплових мережах, які знаходяться на балансі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633914">
        <w:rPr>
          <w:rFonts w:ascii="Times New Roman" w:hAnsi="Times New Roman" w:cs="Times New Roman"/>
          <w:sz w:val="28"/>
          <w:szCs w:val="28"/>
        </w:rPr>
        <w:t>«</w:t>
      </w:r>
      <w:r w:rsidRPr="001C2164">
        <w:rPr>
          <w:rFonts w:ascii="Times New Roman" w:hAnsi="Times New Roman" w:cs="Times New Roman"/>
          <w:sz w:val="28"/>
          <w:szCs w:val="28"/>
        </w:rPr>
        <w:t>Теплоенерго</w:t>
      </w:r>
      <w:r w:rsidR="00633914">
        <w:rPr>
          <w:rFonts w:ascii="Times New Roman" w:hAnsi="Times New Roman" w:cs="Times New Roman"/>
          <w:sz w:val="28"/>
          <w:szCs w:val="28"/>
        </w:rPr>
        <w:t>»</w:t>
      </w:r>
      <w:r w:rsidRPr="001C2164">
        <w:rPr>
          <w:rFonts w:ascii="Times New Roman" w:hAnsi="Times New Roman" w:cs="Times New Roman"/>
          <w:sz w:val="28"/>
          <w:szCs w:val="28"/>
        </w:rPr>
        <w:t>. Гаряче водопостачання в мікрорайоні від 5-ти ЦТП, які також на балансі підприємства.</w:t>
      </w:r>
    </w:p>
    <w:p w:rsidR="00644CD0" w:rsidRPr="001C2164" w:rsidRDefault="00644CD0" w:rsidP="001C2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Також, на баланс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633914">
        <w:rPr>
          <w:rFonts w:ascii="Times New Roman" w:hAnsi="Times New Roman" w:cs="Times New Roman"/>
          <w:sz w:val="28"/>
          <w:szCs w:val="28"/>
        </w:rPr>
        <w:t>«</w:t>
      </w:r>
      <w:r w:rsidRPr="001C2164">
        <w:rPr>
          <w:rFonts w:ascii="Times New Roman" w:hAnsi="Times New Roman" w:cs="Times New Roman"/>
          <w:sz w:val="28"/>
          <w:szCs w:val="28"/>
        </w:rPr>
        <w:t>Теплоенерго</w:t>
      </w:r>
      <w:r w:rsidR="00633914">
        <w:rPr>
          <w:rFonts w:ascii="Times New Roman" w:hAnsi="Times New Roman" w:cs="Times New Roman"/>
          <w:sz w:val="28"/>
          <w:szCs w:val="28"/>
        </w:rPr>
        <w:t>»</w:t>
      </w:r>
      <w:r w:rsidRPr="001C2164">
        <w:rPr>
          <w:rFonts w:ascii="Times New Roman" w:hAnsi="Times New Roman" w:cs="Times New Roman"/>
          <w:sz w:val="28"/>
          <w:szCs w:val="28"/>
        </w:rPr>
        <w:t xml:space="preserve"> рішенням Кременчуцької міської ради № 489 від 31.05.2016р. було прийнято від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633914">
        <w:rPr>
          <w:rFonts w:ascii="Times New Roman" w:hAnsi="Times New Roman" w:cs="Times New Roman"/>
          <w:sz w:val="28"/>
          <w:szCs w:val="28"/>
        </w:rPr>
        <w:t>«</w:t>
      </w:r>
      <w:r w:rsidRPr="001C2164">
        <w:rPr>
          <w:rFonts w:ascii="Times New Roman" w:hAnsi="Times New Roman" w:cs="Times New Roman"/>
          <w:sz w:val="28"/>
          <w:szCs w:val="28"/>
        </w:rPr>
        <w:t>Благоустрій Кременчука</w:t>
      </w:r>
      <w:r w:rsidR="00633914">
        <w:rPr>
          <w:rFonts w:ascii="Times New Roman" w:hAnsi="Times New Roman" w:cs="Times New Roman"/>
          <w:sz w:val="28"/>
          <w:szCs w:val="28"/>
        </w:rPr>
        <w:t>»</w:t>
      </w:r>
      <w:r w:rsidRPr="001C2164">
        <w:rPr>
          <w:rFonts w:ascii="Times New Roman" w:hAnsi="Times New Roman" w:cs="Times New Roman"/>
          <w:sz w:val="28"/>
          <w:szCs w:val="28"/>
        </w:rPr>
        <w:t xml:space="preserve"> - 167,161 км трубопроводів у 2-х трубному вимірі та 40 ЦТП, які задіяні тільки у транспортуванні теплової енергії від Кременчуцької філії ТЕЦ ПАТ </w:t>
      </w:r>
      <w:r w:rsidR="00633914">
        <w:rPr>
          <w:rFonts w:ascii="Times New Roman" w:hAnsi="Times New Roman" w:cs="Times New Roman"/>
          <w:sz w:val="28"/>
          <w:szCs w:val="28"/>
        </w:rPr>
        <w:t>«</w:t>
      </w:r>
      <w:r w:rsidRPr="001C2164">
        <w:rPr>
          <w:rFonts w:ascii="Times New Roman" w:hAnsi="Times New Roman" w:cs="Times New Roman"/>
          <w:sz w:val="28"/>
          <w:szCs w:val="28"/>
        </w:rPr>
        <w:t>Полтаваобленерго</w:t>
      </w:r>
      <w:r w:rsidR="00633914">
        <w:rPr>
          <w:rFonts w:ascii="Times New Roman" w:hAnsi="Times New Roman" w:cs="Times New Roman"/>
          <w:sz w:val="28"/>
          <w:szCs w:val="28"/>
        </w:rPr>
        <w:t>»</w:t>
      </w:r>
      <w:r w:rsidRPr="001C2164">
        <w:rPr>
          <w:rFonts w:ascii="Times New Roman" w:hAnsi="Times New Roman" w:cs="Times New Roman"/>
          <w:sz w:val="28"/>
          <w:szCs w:val="28"/>
        </w:rPr>
        <w:t>.</w:t>
      </w:r>
    </w:p>
    <w:p w:rsidR="002C7C6C" w:rsidRPr="001C2164" w:rsidRDefault="004B1813" w:rsidP="001C2164">
      <w:pPr>
        <w:spacing w:after="0"/>
        <w:ind w:firstLine="708"/>
        <w:jc w:val="both"/>
      </w:pPr>
      <w:r w:rsidRPr="001C2164">
        <w:rPr>
          <w:rFonts w:ascii="Times New Roman" w:hAnsi="Times New Roman" w:cs="Times New Roman"/>
          <w:sz w:val="28"/>
          <w:szCs w:val="28"/>
        </w:rPr>
        <w:t>Господарську діяльність з виробництва, постачання та транспортування теплової енергії магістральними та місцевими (розподільчими) тепловими мережами Підприємство здійснює відповідно до ліцензій, виданих Полтавською обласною державною адміністрацією.</w:t>
      </w:r>
      <w:r w:rsidR="002C7C6C" w:rsidRPr="001C2164">
        <w:t xml:space="preserve"> </w:t>
      </w:r>
    </w:p>
    <w:p w:rsidR="002C7C6C" w:rsidRPr="001C2164" w:rsidRDefault="002C7C6C" w:rsidP="001C2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Будівництво більшої частини теплових мереж міста та центральних теплових пунктів проводилось з 1964 р. Тобто деякі ділянки тепломереж </w:t>
      </w:r>
      <w:r w:rsidRPr="001C2164">
        <w:rPr>
          <w:rFonts w:ascii="Times New Roman" w:hAnsi="Times New Roman" w:cs="Times New Roman"/>
          <w:sz w:val="28"/>
          <w:szCs w:val="28"/>
        </w:rPr>
        <w:lastRenderedPageBreak/>
        <w:t>експлуатуються понад 50 років. За цей час окремі ділянки не ремонтувалися взагалі та експлуатувалися в несприятливих умовах, а саме</w:t>
      </w:r>
      <w:r w:rsidR="00AC79A2" w:rsidRPr="001C2164">
        <w:rPr>
          <w:rFonts w:ascii="Times New Roman" w:hAnsi="Times New Roman" w:cs="Times New Roman"/>
          <w:sz w:val="28"/>
          <w:szCs w:val="28"/>
        </w:rPr>
        <w:t>:</w:t>
      </w:r>
      <w:r w:rsidRPr="001C2164">
        <w:rPr>
          <w:rFonts w:ascii="Times New Roman" w:hAnsi="Times New Roman" w:cs="Times New Roman"/>
          <w:sz w:val="28"/>
          <w:szCs w:val="28"/>
        </w:rPr>
        <w:t xml:space="preserve"> підтоплювалися ґрунтовими та талими водами, а також водами інших мереж, тощо. Так, при гідравлічних випробуваннях теплових мереж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«Теплоенерго» у 2017р. було виявлено і усунено 110 поривів теплових мереж. На теперішній час тепломережі наведені у переліку додатку 1</w:t>
      </w:r>
      <w:r w:rsidR="000D6BA8" w:rsidRPr="001C2164">
        <w:rPr>
          <w:rFonts w:ascii="Times New Roman" w:hAnsi="Times New Roman" w:cs="Times New Roman"/>
          <w:sz w:val="28"/>
          <w:szCs w:val="28"/>
        </w:rPr>
        <w:t>,</w:t>
      </w:r>
      <w:r w:rsidRPr="001C2164">
        <w:rPr>
          <w:rFonts w:ascii="Times New Roman" w:hAnsi="Times New Roman" w:cs="Times New Roman"/>
          <w:sz w:val="28"/>
          <w:szCs w:val="28"/>
        </w:rPr>
        <w:t xml:space="preserve"> є аварійними та потребують заміни для подальшої експлуатації та надійного забезпечення споживачів тепловою енергією.</w:t>
      </w:r>
    </w:p>
    <w:p w:rsidR="004B1813" w:rsidRPr="001C2164" w:rsidRDefault="002C7C6C" w:rsidP="001C2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Заміна означених тепломереж дозволить зменшити фінансові втрати при аварійно-відновлювальних роботах, а також скоротити витоки води та теплової енергії під час аварійних поривів тепломереж. Подальша експлуатація даних ділянок без заміни може призвести до значного збільшення аварійних ситуацій та припинення теплозабезпечення споживачів, що в кінцевому результаті може привести до зриву опалювального сезону та</w:t>
      </w:r>
      <w:r w:rsidR="00AC79A2" w:rsidRPr="001C2164">
        <w:rPr>
          <w:rFonts w:ascii="Times New Roman" w:hAnsi="Times New Roman" w:cs="Times New Roman"/>
          <w:sz w:val="28"/>
          <w:szCs w:val="28"/>
        </w:rPr>
        <w:t>,</w:t>
      </w:r>
      <w:r w:rsidRPr="001C2164">
        <w:rPr>
          <w:rFonts w:ascii="Times New Roman" w:hAnsi="Times New Roman" w:cs="Times New Roman"/>
          <w:sz w:val="28"/>
          <w:szCs w:val="28"/>
        </w:rPr>
        <w:t xml:space="preserve"> як наслідок</w:t>
      </w:r>
      <w:r w:rsidR="00AC79A2" w:rsidRPr="001C2164">
        <w:rPr>
          <w:rFonts w:ascii="Times New Roman" w:hAnsi="Times New Roman" w:cs="Times New Roman"/>
          <w:sz w:val="28"/>
          <w:szCs w:val="28"/>
        </w:rPr>
        <w:t>,</w:t>
      </w:r>
      <w:r w:rsidRPr="001C2164">
        <w:rPr>
          <w:rFonts w:ascii="Times New Roman" w:hAnsi="Times New Roman" w:cs="Times New Roman"/>
          <w:sz w:val="28"/>
          <w:szCs w:val="28"/>
        </w:rPr>
        <w:t xml:space="preserve"> до соціальної напруги у місті.</w:t>
      </w:r>
    </w:p>
    <w:p w:rsidR="009D6C83" w:rsidRPr="00633914" w:rsidRDefault="009D6C83" w:rsidP="009D6C83">
      <w:pPr>
        <w:suppressAutoHyphens/>
        <w:spacing w:before="10" w:after="10" w:line="240" w:lineRule="auto"/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14">
        <w:rPr>
          <w:rFonts w:ascii="Times New Roman" w:hAnsi="Times New Roman" w:cs="Times New Roman"/>
          <w:b/>
          <w:sz w:val="28"/>
          <w:szCs w:val="28"/>
        </w:rPr>
        <w:t xml:space="preserve">Інформація щодо об’єктів, які обслуговує </w:t>
      </w:r>
      <w:proofErr w:type="spellStart"/>
      <w:r w:rsidRPr="00633914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633914">
        <w:rPr>
          <w:rFonts w:ascii="Times New Roman" w:hAnsi="Times New Roman" w:cs="Times New Roman"/>
          <w:b/>
          <w:sz w:val="28"/>
          <w:szCs w:val="28"/>
        </w:rPr>
        <w:t xml:space="preserve"> «Теплоенерго»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5272"/>
        <w:gridCol w:w="3827"/>
      </w:tblGrid>
      <w:tr w:rsidR="009D6C83" w:rsidRPr="001C2164" w:rsidTr="001C2164">
        <w:trPr>
          <w:trHeight w:val="54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6C83" w:rsidRPr="001C2164" w:rsidRDefault="009D6C83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6C83" w:rsidRPr="001C2164" w:rsidRDefault="009D6C83" w:rsidP="009D6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6C83" w:rsidRPr="001C2164" w:rsidRDefault="009D6C83" w:rsidP="009D6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  <w:p w:rsidR="009D6C83" w:rsidRPr="001C2164" w:rsidRDefault="009D6C83" w:rsidP="009D6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577" w:rsidRPr="001C2164" w:rsidTr="001C2164">
        <w:trPr>
          <w:trHeight w:val="3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кв. 620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63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Приходьк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101-а</w:t>
            </w:r>
          </w:p>
        </w:tc>
      </w:tr>
      <w:tr w:rsidR="00DE5577" w:rsidRPr="001C2164" w:rsidTr="001C2164">
        <w:trPr>
          <w:trHeight w:val="29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кв. 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63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Приходьк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30-а</w:t>
            </w:r>
          </w:p>
        </w:tc>
      </w:tr>
      <w:tr w:rsidR="00DE5577" w:rsidRPr="001C2164" w:rsidTr="001C2164">
        <w:trPr>
          <w:trHeight w:val="29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кв. 176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Говорова, 28-а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Котельня 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Пождепо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633914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DE5577" w:rsidRPr="001C2164">
              <w:rPr>
                <w:rFonts w:ascii="Times New Roman" w:hAnsi="Times New Roman" w:cs="Times New Roman"/>
                <w:sz w:val="24"/>
                <w:szCs w:val="24"/>
              </w:rPr>
              <w:t>Кузнечна</w:t>
            </w:r>
            <w:proofErr w:type="spellEnd"/>
            <w:r w:rsidR="00DE5577" w:rsidRPr="001C2164">
              <w:rPr>
                <w:rFonts w:ascii="Times New Roman" w:hAnsi="Times New Roman" w:cs="Times New Roman"/>
                <w:sz w:val="24"/>
                <w:szCs w:val="24"/>
              </w:rPr>
              <w:t>, 32-а</w:t>
            </w:r>
          </w:p>
        </w:tc>
      </w:tr>
      <w:tr w:rsidR="00DE5577" w:rsidRPr="001C2164" w:rsidTr="001C2164">
        <w:trPr>
          <w:trHeight w:val="27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кв. 142-143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Мічурина, 89-а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СШ №7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Пілотів, 43-а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хлібної бази №81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Ю.Кондратюка, 7-б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СШ №21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217-а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управління зрошувальних систем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Целіноградська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3-б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ЗОШ №2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Б.Хмельницького, 66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ДНЗ №4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Соломії Крушельницької, 40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ЗОШ №29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Республіканська, 76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ЗОШ №24 (1)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просп. Полтавський, 11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ЗОШ №24 (2)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просп. Полтавський, 16-а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DF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Дахова котельня, вул.</w:t>
            </w:r>
            <w:r w:rsidR="001C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Європейська, 68-а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Європейська, 68-а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DF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Дахова котельня кв. 101 буд.10-б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кв. 101, буд.10-б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DF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Котельня вул. Академіка </w:t>
            </w:r>
            <w:r w:rsidR="001C2164" w:rsidRPr="001C2164">
              <w:rPr>
                <w:rFonts w:ascii="Times New Roman" w:hAnsi="Times New Roman" w:cs="Times New Roman"/>
                <w:sz w:val="24"/>
                <w:szCs w:val="24"/>
              </w:rPr>
              <w:t>Герасимовича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2-а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Академіка Герасимовича, 2-а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DF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Котельня Пологового будинку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вул. Майора Борищака, 20/3</w:t>
            </w:r>
          </w:p>
        </w:tc>
      </w:tr>
      <w:tr w:rsidR="00DE5577" w:rsidRPr="001C2164" w:rsidTr="001C2164">
        <w:trPr>
          <w:trHeight w:val="288"/>
        </w:trPr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Центральні теплові пункти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176 (вул.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Маршала Говорова,      28 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4 (вул.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Василя Сухомлинського, 2-а)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74 (пров.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Зоряний, 2 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63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94 (вул. Ле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тенанта Дніпрова, 60-а)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244 (вул. Східна, 26-а)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248 (вул. Республіканська, 87)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18 (вул. Київська, 91-Б)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55-І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55-1 (пров. О.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Кошевого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5-Б)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55-ІІ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55-2 (вул. Київська, 63-В)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57-І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57-1 (пров. Г. Бреста, 37-А)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57-ІІ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57-2 (пров. Г. Бреста 71-А)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59 (вул. В. Бойко, 23-А)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60 (пров. Г.Бреста, 39)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ЦТП 61 (вул. Г. 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Родімцева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5-А)</w:t>
            </w:r>
          </w:p>
        </w:tc>
      </w:tr>
      <w:tr w:rsidR="00DE5577" w:rsidRPr="001C2164" w:rsidTr="00633914">
        <w:trPr>
          <w:trHeight w:val="5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63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ЦТП 62 (вул. 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>Вадима Пугачова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15-А)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63 (вул. Л. Толстого, 36)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63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ЦТП 88 (вул. 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>Небесної Сотні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54-А)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95 (пр.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Лікаря  О.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Богаєвського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60/1)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98 (вул. Шевченка, 64-А)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100 (вул. Лікаря  О.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Богаєвського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8-Б)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101 (квартал 101, 1-А)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107 (вул. Академіка Маслова, 15/4)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108 (вул. Івана Мазепи, 30-А)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ЦТП 109 (вул. </w:t>
            </w:r>
            <w:r w:rsidR="00633914" w:rsidRPr="001C2164">
              <w:rPr>
                <w:rFonts w:ascii="Times New Roman" w:hAnsi="Times New Roman" w:cs="Times New Roman"/>
                <w:sz w:val="24"/>
                <w:szCs w:val="24"/>
              </w:rPr>
              <w:t>Софіївська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66)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113 (вул. Івана Мазепи, 56)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116 (вул. Перемоги, 3-Б)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117 (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. Пушкіна, 13-А)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119 (вул. Першотравнева, 31/6)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121 (вул. Гагаріна, 14-А)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123 (вул. Генерала Жадова,             5 -А)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130 (вул.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Гагаріна,13-А)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134-1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134-1 (вул.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Європейська, 41-В)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274 (кв.274, 8-А)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278 (кв. 278, 7-В)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284-286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284-286 (вул. Керченська, 3-Б)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287 (кв.287,19-А)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288 (просп. Лесі Українки,             72-А)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289-І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63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289-1 (вул. Г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>ероїв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91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              13-А)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289-ІІ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289-2 (вул. В. Інтернаціоналістів, 5-А)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290 (пр. Лесі Українка, 36-А)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291 (вул. Тараса Бульба, 9-А)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292 (вул. Молодіжна, 17-А)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ЦТП 293 (пров. 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Тецівський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8-А)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ЦТП 297 (вул. Молодіжна, 2-Б)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ЦТП 304 (вул. Олексія 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Древаля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             87-А)</w:t>
            </w:r>
          </w:p>
        </w:tc>
      </w:tr>
      <w:tr w:rsidR="00DE5577" w:rsidRPr="001C2164" w:rsidTr="001C2164">
        <w:trPr>
          <w:trHeight w:val="28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577" w:rsidRPr="001C2164" w:rsidRDefault="00DE5577" w:rsidP="001C21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577" w:rsidRPr="001C2164" w:rsidRDefault="00DE5577" w:rsidP="00DE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64">
              <w:rPr>
                <w:rFonts w:ascii="Times New Roman" w:hAnsi="Times New Roman" w:cs="Times New Roman"/>
                <w:sz w:val="24"/>
                <w:szCs w:val="24"/>
              </w:rPr>
              <w:t xml:space="preserve">ЦТП 305 (вул.  Олексія </w:t>
            </w:r>
            <w:proofErr w:type="spellStart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Древаля</w:t>
            </w:r>
            <w:proofErr w:type="spellEnd"/>
            <w:r w:rsidRPr="001C2164">
              <w:rPr>
                <w:rFonts w:ascii="Times New Roman" w:hAnsi="Times New Roman" w:cs="Times New Roman"/>
                <w:sz w:val="24"/>
                <w:szCs w:val="24"/>
              </w:rPr>
              <w:t>,          25-Б)</w:t>
            </w:r>
          </w:p>
        </w:tc>
      </w:tr>
    </w:tbl>
    <w:p w:rsidR="00A2590B" w:rsidRPr="001C2164" w:rsidRDefault="00A2590B" w:rsidP="00A25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На теперішній час нормативний строк служби теплових мереж визначено на рівні 25 років. Цим же часовим проміжком визначено і строк повної амортизації обладнання інженерних мереж, але в багатьох випадках він не відповідає реальному експлуатаційному ресурсу інженерних мереж трубопроводів. </w:t>
      </w:r>
    </w:p>
    <w:p w:rsidR="00A2590B" w:rsidRPr="001C2164" w:rsidRDefault="00A2590B" w:rsidP="00A25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Зниженню нормативного строку служби сприяє наявність цілого ряду факторів, які прискорюють процеси корозійного зносу                            трубопроводів: </w:t>
      </w:r>
      <w:r w:rsidR="001C2164" w:rsidRPr="001C2164">
        <w:rPr>
          <w:rFonts w:ascii="Times New Roman" w:hAnsi="Times New Roman" w:cs="Times New Roman"/>
          <w:sz w:val="28"/>
          <w:szCs w:val="28"/>
        </w:rPr>
        <w:t>ґрунтові</w:t>
      </w:r>
      <w:r w:rsidRPr="001C2164">
        <w:rPr>
          <w:rFonts w:ascii="Times New Roman" w:hAnsi="Times New Roman" w:cs="Times New Roman"/>
          <w:sz w:val="28"/>
          <w:szCs w:val="28"/>
        </w:rPr>
        <w:t xml:space="preserve"> води, висока корозійна активність </w:t>
      </w:r>
      <w:r w:rsidR="001C2164" w:rsidRPr="001C2164">
        <w:rPr>
          <w:rFonts w:ascii="Times New Roman" w:hAnsi="Times New Roman" w:cs="Times New Roman"/>
          <w:sz w:val="28"/>
          <w:szCs w:val="28"/>
        </w:rPr>
        <w:t>ґрунту</w:t>
      </w:r>
      <w:r w:rsidRPr="001C2164">
        <w:rPr>
          <w:rFonts w:ascii="Times New Roman" w:hAnsi="Times New Roman" w:cs="Times New Roman"/>
          <w:sz w:val="28"/>
          <w:szCs w:val="28"/>
        </w:rPr>
        <w:t>, наявність великої кількості супутніх підземних комунікацій. Це призводить, у кінцевому результаті, до прискорення руйнування інженерних мереж.</w:t>
      </w:r>
    </w:p>
    <w:p w:rsidR="00A2590B" w:rsidRPr="001C2164" w:rsidRDefault="00A2590B" w:rsidP="00D55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Для сталого забезпечення споживачів послугами по гарячому водопостачання та теплопостачанню необхідно</w:t>
      </w:r>
      <w:r w:rsidR="009E59F0"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1C2164">
        <w:rPr>
          <w:rFonts w:ascii="Times New Roman" w:hAnsi="Times New Roman" w:cs="Times New Roman"/>
          <w:sz w:val="28"/>
          <w:szCs w:val="28"/>
        </w:rPr>
        <w:t xml:space="preserve">здійснити заміну </w:t>
      </w:r>
      <w:r w:rsidR="001E1A35" w:rsidRPr="001C2164">
        <w:rPr>
          <w:rFonts w:ascii="Times New Roman" w:hAnsi="Times New Roman" w:cs="Times New Roman"/>
          <w:sz w:val="28"/>
          <w:szCs w:val="28"/>
        </w:rPr>
        <w:t>більше</w:t>
      </w:r>
      <w:r w:rsidR="009E59F0" w:rsidRPr="001C2164">
        <w:rPr>
          <w:rFonts w:ascii="Times New Roman" w:hAnsi="Times New Roman" w:cs="Times New Roman"/>
          <w:sz w:val="28"/>
          <w:szCs w:val="28"/>
        </w:rPr>
        <w:t xml:space="preserve"> 28 км</w:t>
      </w:r>
      <w:r w:rsidRPr="001C2164">
        <w:rPr>
          <w:rFonts w:ascii="Times New Roman" w:hAnsi="Times New Roman" w:cs="Times New Roman"/>
          <w:sz w:val="28"/>
          <w:szCs w:val="28"/>
        </w:rPr>
        <w:t xml:space="preserve"> інженерних мереж трубопроводів. Коштів на реконструкцію та капітальний ремонт у підприємства не вистачає. Тому</w:t>
      </w:r>
      <w:r w:rsidR="00476D19" w:rsidRPr="001C2164">
        <w:rPr>
          <w:rFonts w:ascii="Times New Roman" w:hAnsi="Times New Roman" w:cs="Times New Roman"/>
          <w:sz w:val="28"/>
          <w:szCs w:val="28"/>
        </w:rPr>
        <w:t xml:space="preserve">, </w:t>
      </w:r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D55CB4" w:rsidRPr="001C2164">
        <w:rPr>
          <w:rFonts w:ascii="Times New Roman" w:hAnsi="Times New Roman" w:cs="Times New Roman"/>
          <w:sz w:val="28"/>
          <w:szCs w:val="28"/>
        </w:rPr>
        <w:t xml:space="preserve">Програма заміни аварійних ділянок інженерних мереж гарячого водопостачання та теплопостачання </w:t>
      </w:r>
      <w:r w:rsidR="009E59F0" w:rsidRPr="001C21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55CB4"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D55CB4" w:rsidRPr="001C2164">
        <w:rPr>
          <w:rFonts w:ascii="Times New Roman" w:hAnsi="Times New Roman" w:cs="Times New Roman"/>
          <w:sz w:val="28"/>
          <w:szCs w:val="28"/>
        </w:rPr>
        <w:t xml:space="preserve">  «Теплоенерго»</w:t>
      </w:r>
      <w:r w:rsidR="00476D19"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1C2164">
        <w:rPr>
          <w:rFonts w:ascii="Times New Roman" w:hAnsi="Times New Roman" w:cs="Times New Roman"/>
          <w:sz w:val="28"/>
          <w:szCs w:val="28"/>
        </w:rPr>
        <w:t xml:space="preserve"> розрахована на три роки, впродов</w:t>
      </w:r>
      <w:r w:rsidR="00D55CB4" w:rsidRPr="001C2164">
        <w:rPr>
          <w:rFonts w:ascii="Times New Roman" w:hAnsi="Times New Roman" w:cs="Times New Roman"/>
          <w:sz w:val="28"/>
          <w:szCs w:val="28"/>
        </w:rPr>
        <w:t>ж яких надійність системи тепло</w:t>
      </w:r>
      <w:r w:rsidRPr="001C2164">
        <w:rPr>
          <w:rFonts w:ascii="Times New Roman" w:hAnsi="Times New Roman" w:cs="Times New Roman"/>
          <w:sz w:val="28"/>
          <w:szCs w:val="28"/>
        </w:rPr>
        <w:t xml:space="preserve">забезпечення та гарячого водопостачання буде поступово збільшуватися. </w:t>
      </w:r>
    </w:p>
    <w:p w:rsidR="009D6C83" w:rsidRPr="001C2164" w:rsidRDefault="00993E11" w:rsidP="009D6C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ІІ. Мета, основні завдання та шляхи реалізації завдань Програми.</w:t>
      </w:r>
    </w:p>
    <w:p w:rsidR="009D6C83" w:rsidRPr="001C2164" w:rsidRDefault="006F2F46" w:rsidP="009D6C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2.1.</w:t>
      </w:r>
      <w:r w:rsidR="00993E11" w:rsidRPr="001C2164">
        <w:rPr>
          <w:rFonts w:ascii="Times New Roman" w:hAnsi="Times New Roman" w:cs="Times New Roman"/>
          <w:b/>
          <w:sz w:val="28"/>
          <w:szCs w:val="28"/>
        </w:rPr>
        <w:t xml:space="preserve"> Мета.</w:t>
      </w:r>
    </w:p>
    <w:p w:rsidR="00476D19" w:rsidRPr="001C2164" w:rsidRDefault="00476D19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Збільшити надійність системи теплозабезпечення та</w:t>
      </w:r>
      <w:r w:rsidR="0050176A" w:rsidRPr="001C2164">
        <w:rPr>
          <w:rFonts w:ascii="Times New Roman" w:hAnsi="Times New Roman" w:cs="Times New Roman"/>
          <w:sz w:val="28"/>
          <w:szCs w:val="28"/>
        </w:rPr>
        <w:t xml:space="preserve"> гарячого водопостачання. Забезпечити поступову заміну аварійних ділянок інженерних мереж для </w:t>
      </w:r>
      <w:r w:rsidR="001C2164" w:rsidRPr="001C2164">
        <w:rPr>
          <w:rFonts w:ascii="Times New Roman" w:hAnsi="Times New Roman" w:cs="Times New Roman"/>
          <w:sz w:val="28"/>
          <w:szCs w:val="28"/>
        </w:rPr>
        <w:t>зменшення</w:t>
      </w:r>
      <w:r w:rsidR="0050176A" w:rsidRPr="001C2164">
        <w:rPr>
          <w:rFonts w:ascii="Times New Roman" w:hAnsi="Times New Roman" w:cs="Times New Roman"/>
          <w:sz w:val="28"/>
          <w:szCs w:val="28"/>
        </w:rPr>
        <w:t xml:space="preserve"> кількості </w:t>
      </w:r>
      <w:r w:rsidR="00040C76" w:rsidRPr="001C2164">
        <w:rPr>
          <w:rFonts w:ascii="Times New Roman" w:hAnsi="Times New Roman" w:cs="Times New Roman"/>
          <w:sz w:val="28"/>
          <w:szCs w:val="28"/>
        </w:rPr>
        <w:t>аварійних ситуацій. Подовження строку експлуатації інженерних мереж.</w:t>
      </w:r>
    </w:p>
    <w:p w:rsidR="006F2F46" w:rsidRPr="001C2164" w:rsidRDefault="006F2F46" w:rsidP="009D6C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2.2. Напрями діяльності, завдання та заходи.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Планування робіт по </w:t>
      </w:r>
      <w:r w:rsidR="00AC79A2" w:rsidRPr="001C2164">
        <w:rPr>
          <w:rFonts w:ascii="Times New Roman" w:hAnsi="Times New Roman" w:cs="Times New Roman"/>
          <w:sz w:val="28"/>
          <w:szCs w:val="28"/>
        </w:rPr>
        <w:t xml:space="preserve">заміні аварійних ділянок інженерних мереж теплопостачання та гарячого водопостачання </w:t>
      </w:r>
      <w:proofErr w:type="spellStart"/>
      <w:r w:rsidR="00AC79A2" w:rsidRPr="001C216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AC79A2" w:rsidRPr="001C2164">
        <w:rPr>
          <w:rFonts w:ascii="Times New Roman" w:hAnsi="Times New Roman" w:cs="Times New Roman"/>
          <w:sz w:val="28"/>
          <w:szCs w:val="28"/>
        </w:rPr>
        <w:t xml:space="preserve"> «Теплоенерго» </w:t>
      </w:r>
      <w:r w:rsidR="00040C76" w:rsidRPr="001C2164">
        <w:rPr>
          <w:rFonts w:ascii="Times New Roman" w:hAnsi="Times New Roman" w:cs="Times New Roman"/>
          <w:sz w:val="28"/>
          <w:szCs w:val="28"/>
        </w:rPr>
        <w:t>передбача</w:t>
      </w:r>
      <w:r w:rsidR="00AC79A2" w:rsidRPr="001C2164">
        <w:rPr>
          <w:rFonts w:ascii="Times New Roman" w:hAnsi="Times New Roman" w:cs="Times New Roman"/>
          <w:sz w:val="28"/>
          <w:szCs w:val="28"/>
        </w:rPr>
        <w:t>є</w:t>
      </w:r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3248FE" w:rsidRPr="001C2164">
        <w:rPr>
          <w:rFonts w:ascii="Times New Roman" w:hAnsi="Times New Roman" w:cs="Times New Roman"/>
          <w:sz w:val="28"/>
          <w:szCs w:val="28"/>
        </w:rPr>
        <w:t>ви</w:t>
      </w:r>
      <w:r w:rsidR="00AC79A2" w:rsidRPr="001C2164">
        <w:rPr>
          <w:rFonts w:ascii="Times New Roman" w:hAnsi="Times New Roman" w:cs="Times New Roman"/>
          <w:sz w:val="28"/>
          <w:szCs w:val="28"/>
        </w:rPr>
        <w:t>рішення оптимізаційного</w:t>
      </w:r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6519CE" w:rsidRPr="001C2164">
        <w:rPr>
          <w:rFonts w:ascii="Times New Roman" w:hAnsi="Times New Roman" w:cs="Times New Roman"/>
          <w:sz w:val="28"/>
          <w:szCs w:val="28"/>
        </w:rPr>
        <w:t>завдання</w:t>
      </w:r>
      <w:r w:rsidR="00AC79A2" w:rsidRPr="001C2164">
        <w:rPr>
          <w:rFonts w:ascii="Times New Roman" w:hAnsi="Times New Roman" w:cs="Times New Roman"/>
          <w:sz w:val="28"/>
          <w:szCs w:val="28"/>
        </w:rPr>
        <w:t xml:space="preserve">, </w:t>
      </w:r>
      <w:r w:rsidR="00633914">
        <w:rPr>
          <w:rFonts w:ascii="Times New Roman" w:hAnsi="Times New Roman" w:cs="Times New Roman"/>
          <w:sz w:val="28"/>
          <w:szCs w:val="28"/>
        </w:rPr>
        <w:t>а саме:</w:t>
      </w:r>
      <w:r w:rsidRPr="001C2164">
        <w:rPr>
          <w:rFonts w:ascii="Times New Roman" w:hAnsi="Times New Roman" w:cs="Times New Roman"/>
          <w:sz w:val="28"/>
          <w:szCs w:val="28"/>
        </w:rPr>
        <w:t xml:space="preserve"> спрямувати виділені кошти на </w:t>
      </w:r>
      <w:r w:rsidRPr="001C2164">
        <w:rPr>
          <w:rFonts w:ascii="Times New Roman" w:hAnsi="Times New Roman" w:cs="Times New Roman"/>
          <w:sz w:val="28"/>
          <w:szCs w:val="28"/>
        </w:rPr>
        <w:lastRenderedPageBreak/>
        <w:t xml:space="preserve">ланки </w:t>
      </w:r>
      <w:r w:rsidR="00040C76" w:rsidRPr="001C2164">
        <w:rPr>
          <w:rFonts w:ascii="Times New Roman" w:hAnsi="Times New Roman" w:cs="Times New Roman"/>
          <w:sz w:val="28"/>
          <w:szCs w:val="28"/>
        </w:rPr>
        <w:t>інженерних мереж</w:t>
      </w:r>
      <w:r w:rsidRPr="001C2164">
        <w:rPr>
          <w:rFonts w:ascii="Times New Roman" w:hAnsi="Times New Roman" w:cs="Times New Roman"/>
          <w:sz w:val="28"/>
          <w:szCs w:val="28"/>
        </w:rPr>
        <w:t xml:space="preserve">, які на теперішній час </w:t>
      </w:r>
      <w:r w:rsidR="003248FE" w:rsidRPr="001C2164">
        <w:rPr>
          <w:rFonts w:ascii="Times New Roman" w:hAnsi="Times New Roman" w:cs="Times New Roman"/>
          <w:sz w:val="28"/>
          <w:szCs w:val="28"/>
        </w:rPr>
        <w:t>знаходяться в критичному стані</w:t>
      </w:r>
      <w:r w:rsidR="00AC79A2" w:rsidRPr="001C216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В першу чергу </w:t>
      </w:r>
      <w:r w:rsidR="00040C76" w:rsidRPr="001C2164">
        <w:rPr>
          <w:rFonts w:ascii="Times New Roman" w:hAnsi="Times New Roman" w:cs="Times New Roman"/>
          <w:sz w:val="28"/>
          <w:szCs w:val="28"/>
        </w:rPr>
        <w:t>враховували</w:t>
      </w:r>
      <w:r w:rsidRPr="001C2164">
        <w:rPr>
          <w:rFonts w:ascii="Times New Roman" w:hAnsi="Times New Roman" w:cs="Times New Roman"/>
          <w:sz w:val="28"/>
          <w:szCs w:val="28"/>
        </w:rPr>
        <w:t xml:space="preserve"> стан теплових мереж: чим більше ступень фізичного зносу, тим вищий пріоритет, який визначає терміновість проведення </w:t>
      </w:r>
      <w:r w:rsidR="00040C76" w:rsidRPr="001C2164">
        <w:rPr>
          <w:rFonts w:ascii="Times New Roman" w:hAnsi="Times New Roman" w:cs="Times New Roman"/>
          <w:sz w:val="28"/>
          <w:szCs w:val="28"/>
        </w:rPr>
        <w:t>заміни інженерної</w:t>
      </w:r>
      <w:r w:rsidRPr="001C2164">
        <w:rPr>
          <w:rFonts w:ascii="Times New Roman" w:hAnsi="Times New Roman" w:cs="Times New Roman"/>
          <w:sz w:val="28"/>
          <w:szCs w:val="28"/>
        </w:rPr>
        <w:t xml:space="preserve"> мережі. З достатні</w:t>
      </w:r>
      <w:r w:rsidR="00040C76" w:rsidRPr="001C2164">
        <w:rPr>
          <w:rFonts w:ascii="Times New Roman" w:hAnsi="Times New Roman" w:cs="Times New Roman"/>
          <w:sz w:val="28"/>
          <w:szCs w:val="28"/>
        </w:rPr>
        <w:t>м ступенем достовірності оцінювався</w:t>
      </w:r>
      <w:r w:rsidRPr="001C2164">
        <w:rPr>
          <w:rFonts w:ascii="Times New Roman" w:hAnsi="Times New Roman" w:cs="Times New Roman"/>
          <w:sz w:val="28"/>
          <w:szCs w:val="28"/>
        </w:rPr>
        <w:t xml:space="preserve"> фізичний знос трубопроводів по непрямим ознакам: строк експлуатації, питома пошкоджуваність, наявність шкідливих факторів, які сприяють прискореному корозій</w:t>
      </w:r>
      <w:r w:rsidR="00040C76" w:rsidRPr="001C2164">
        <w:rPr>
          <w:rFonts w:ascii="Times New Roman" w:hAnsi="Times New Roman" w:cs="Times New Roman"/>
          <w:sz w:val="28"/>
          <w:szCs w:val="28"/>
        </w:rPr>
        <w:t>ному ефекту. Т</w:t>
      </w:r>
      <w:r w:rsidRPr="001C2164">
        <w:rPr>
          <w:rFonts w:ascii="Times New Roman" w:hAnsi="Times New Roman" w:cs="Times New Roman"/>
          <w:sz w:val="28"/>
          <w:szCs w:val="28"/>
        </w:rPr>
        <w:t xml:space="preserve">акож </w:t>
      </w:r>
      <w:r w:rsidR="00040C76" w:rsidRPr="001C2164">
        <w:rPr>
          <w:rFonts w:ascii="Times New Roman" w:hAnsi="Times New Roman" w:cs="Times New Roman"/>
          <w:sz w:val="28"/>
          <w:szCs w:val="28"/>
        </w:rPr>
        <w:t>враховувалося</w:t>
      </w:r>
      <w:r w:rsidRPr="001C2164">
        <w:rPr>
          <w:rFonts w:ascii="Times New Roman" w:hAnsi="Times New Roman" w:cs="Times New Roman"/>
          <w:sz w:val="28"/>
          <w:szCs w:val="28"/>
        </w:rPr>
        <w:t xml:space="preserve"> принципи мінімізації економічного збитку та негативних соціальних наслідків, які пов’язані з аварійними ситуаціями на теплових мережах.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Таким чином, вибір ділянок, які включені до Програми заміни інженерних мереж гарячого водопостачання та теплопостачання на                          2019-2021 роки, приймався відповідальними працівниками Підприємства на підставі </w:t>
      </w:r>
      <w:r w:rsidR="00633914">
        <w:rPr>
          <w:rFonts w:ascii="Times New Roman" w:hAnsi="Times New Roman" w:cs="Times New Roman"/>
          <w:sz w:val="28"/>
          <w:szCs w:val="28"/>
        </w:rPr>
        <w:t>наступних</w:t>
      </w:r>
      <w:r w:rsidRPr="001C2164">
        <w:rPr>
          <w:rFonts w:ascii="Times New Roman" w:hAnsi="Times New Roman" w:cs="Times New Roman"/>
          <w:sz w:val="28"/>
          <w:szCs w:val="28"/>
        </w:rPr>
        <w:t xml:space="preserve"> факторів: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•</w:t>
      </w:r>
      <w:r w:rsidRPr="001C2164">
        <w:rPr>
          <w:rFonts w:ascii="Times New Roman" w:hAnsi="Times New Roman" w:cs="Times New Roman"/>
          <w:sz w:val="28"/>
          <w:szCs w:val="28"/>
        </w:rPr>
        <w:tab/>
        <w:t>строк експлуатації трубопроводів;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•</w:t>
      </w:r>
      <w:r w:rsidRPr="001C2164">
        <w:rPr>
          <w:rFonts w:ascii="Times New Roman" w:hAnsi="Times New Roman" w:cs="Times New Roman"/>
          <w:sz w:val="28"/>
          <w:szCs w:val="28"/>
        </w:rPr>
        <w:tab/>
        <w:t>питома пошкоджуваність трубопроводів;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•</w:t>
      </w:r>
      <w:r w:rsidRPr="001C2164">
        <w:rPr>
          <w:rFonts w:ascii="Times New Roman" w:hAnsi="Times New Roman" w:cs="Times New Roman"/>
          <w:sz w:val="28"/>
          <w:szCs w:val="28"/>
        </w:rPr>
        <w:tab/>
        <w:t>шкідливий вплив на інженерні мережі зовнішніх факторів які прискорюють корозійний знос трубопроводів;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•</w:t>
      </w:r>
      <w:r w:rsidRPr="001C2164">
        <w:rPr>
          <w:rFonts w:ascii="Times New Roman" w:hAnsi="Times New Roman" w:cs="Times New Roman"/>
          <w:sz w:val="28"/>
          <w:szCs w:val="28"/>
        </w:rPr>
        <w:tab/>
        <w:t xml:space="preserve">шкідливий вплив на трубопроводи </w:t>
      </w:r>
      <w:r w:rsidR="00DF7B61" w:rsidRPr="001C2164">
        <w:rPr>
          <w:rFonts w:ascii="Times New Roman" w:hAnsi="Times New Roman" w:cs="Times New Roman"/>
          <w:sz w:val="28"/>
          <w:szCs w:val="28"/>
        </w:rPr>
        <w:t>гарячої</w:t>
      </w:r>
      <w:r w:rsidRPr="001C2164">
        <w:rPr>
          <w:rFonts w:ascii="Times New Roman" w:hAnsi="Times New Roman" w:cs="Times New Roman"/>
          <w:sz w:val="28"/>
          <w:szCs w:val="28"/>
        </w:rPr>
        <w:t xml:space="preserve"> води</w:t>
      </w:r>
      <w:r w:rsidR="00DF7B61" w:rsidRPr="001C2164">
        <w:rPr>
          <w:rFonts w:ascii="Times New Roman" w:hAnsi="Times New Roman" w:cs="Times New Roman"/>
          <w:sz w:val="28"/>
          <w:szCs w:val="28"/>
        </w:rPr>
        <w:t>;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•</w:t>
      </w:r>
      <w:r w:rsidRPr="001C2164">
        <w:rPr>
          <w:rFonts w:ascii="Times New Roman" w:hAnsi="Times New Roman" w:cs="Times New Roman"/>
          <w:sz w:val="28"/>
          <w:szCs w:val="28"/>
        </w:rPr>
        <w:tab/>
        <w:t xml:space="preserve">технологічна важливість даної ділянки інженерної мережі, котра напряму зв’язана з кількістю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прогнозуємого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недопостачання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 xml:space="preserve"> теплової енергії та гарячої води при аварійному усуненні пошкоджень у зимовий період;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•</w:t>
      </w:r>
      <w:r w:rsidRPr="001C2164">
        <w:rPr>
          <w:rFonts w:ascii="Times New Roman" w:hAnsi="Times New Roman" w:cs="Times New Roman"/>
          <w:sz w:val="28"/>
          <w:szCs w:val="28"/>
        </w:rPr>
        <w:tab/>
        <w:t>соціальна важливість, яка визначається можливими соціально-економічними наслідками аварійних витоків з трубопроводів при виникненні дефектів (адресне розташування інженерної мережі);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Всі зазначені дані були опрацьовані та визначений перелік інженерних мереж, які підпадають під Програму. Також були визначені ділянки, які мають </w:t>
      </w:r>
      <w:r w:rsidR="001C2164" w:rsidRPr="001C2164">
        <w:rPr>
          <w:rFonts w:ascii="Times New Roman" w:hAnsi="Times New Roman" w:cs="Times New Roman"/>
          <w:sz w:val="28"/>
          <w:szCs w:val="28"/>
        </w:rPr>
        <w:t>пр</w:t>
      </w:r>
      <w:r w:rsidR="001C2164">
        <w:rPr>
          <w:rFonts w:ascii="Times New Roman" w:hAnsi="Times New Roman" w:cs="Times New Roman"/>
          <w:sz w:val="28"/>
          <w:szCs w:val="28"/>
        </w:rPr>
        <w:t>і</w:t>
      </w:r>
      <w:r w:rsidR="001C2164" w:rsidRPr="001C2164">
        <w:rPr>
          <w:rFonts w:ascii="Times New Roman" w:hAnsi="Times New Roman" w:cs="Times New Roman"/>
          <w:sz w:val="28"/>
          <w:szCs w:val="28"/>
        </w:rPr>
        <w:t>оритети</w:t>
      </w:r>
      <w:r w:rsidRPr="001C2164">
        <w:rPr>
          <w:rFonts w:ascii="Times New Roman" w:hAnsi="Times New Roman" w:cs="Times New Roman"/>
          <w:sz w:val="28"/>
          <w:szCs w:val="28"/>
        </w:rPr>
        <w:t xml:space="preserve"> по часу виконання</w:t>
      </w:r>
      <w:r w:rsidR="001C2164">
        <w:rPr>
          <w:rFonts w:ascii="Times New Roman" w:hAnsi="Times New Roman" w:cs="Times New Roman"/>
          <w:sz w:val="28"/>
          <w:szCs w:val="28"/>
        </w:rPr>
        <w:t xml:space="preserve"> (</w:t>
      </w:r>
      <w:r w:rsidRPr="001C2164">
        <w:rPr>
          <w:rFonts w:ascii="Times New Roman" w:hAnsi="Times New Roman" w:cs="Times New Roman"/>
          <w:sz w:val="28"/>
          <w:szCs w:val="28"/>
        </w:rPr>
        <w:t>Додаток № 1 до Програми</w:t>
      </w:r>
      <w:r w:rsidR="001C2164">
        <w:rPr>
          <w:rFonts w:ascii="Times New Roman" w:hAnsi="Times New Roman" w:cs="Times New Roman"/>
          <w:sz w:val="28"/>
          <w:szCs w:val="28"/>
        </w:rPr>
        <w:t>)</w:t>
      </w:r>
      <w:r w:rsidRPr="001C2164">
        <w:rPr>
          <w:rFonts w:ascii="Times New Roman" w:hAnsi="Times New Roman" w:cs="Times New Roman"/>
          <w:sz w:val="28"/>
          <w:szCs w:val="28"/>
        </w:rPr>
        <w:t>.</w:t>
      </w:r>
    </w:p>
    <w:p w:rsidR="006F2F46" w:rsidRPr="001C2164" w:rsidRDefault="006F2F46" w:rsidP="009D6C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2.3. Очікувані результати, ефективність Програми.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В ході виконання Програми очікується досягнення наступних показників: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C21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2164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r w:rsidR="00773378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914"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r w:rsidR="00773378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аварійних ділянок інженерних мереж </w:t>
      </w:r>
      <w:r w:rsidR="00DF7B61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1C2164">
        <w:rPr>
          <w:rFonts w:ascii="Times New Roman" w:hAnsi="Times New Roman" w:cs="Times New Roman"/>
          <w:color w:val="000000" w:themeColor="text1"/>
          <w:sz w:val="28"/>
          <w:szCs w:val="28"/>
        </w:rPr>
        <w:t>пло</w:t>
      </w:r>
      <w:r w:rsidR="00DF7B61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постачання та </w:t>
      </w:r>
      <w:r w:rsidR="00773378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гарячого водопостачання</w:t>
      </w: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176A" w:rsidRPr="001C2164" w:rsidRDefault="0050176A" w:rsidP="005017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збільшення терміну придатності </w:t>
      </w:r>
      <w:r w:rsidR="00773378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інженерних мереж гарячого водопостачання та теплопостачання </w:t>
      </w: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рахунок виконання робіт із </w:t>
      </w:r>
      <w:r w:rsidR="00773378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заміни аварійних ділянок</w:t>
      </w: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7B61" w:rsidRPr="001C2164" w:rsidRDefault="00780FF4" w:rsidP="005017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- показник питомих витрат паливно-енергетичних ресурсів</w:t>
      </w:r>
      <w:r w:rsidR="001C21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0FF4" w:rsidRPr="001C2164" w:rsidRDefault="00DF7B61" w:rsidP="005017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0FF4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 аварійних виїздів та аварійно-відновлюв</w:t>
      </w: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альних робіт після заміни мереж</w:t>
      </w:r>
      <w:r w:rsidR="00780FF4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0FF4" w:rsidRPr="001C2164" w:rsidRDefault="00780FF4" w:rsidP="005017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зменшення втрат тепла в процентному </w:t>
      </w:r>
      <w:r w:rsidR="001C2164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відношенні</w:t>
      </w: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рокам реалізації </w:t>
      </w:r>
      <w:r w:rsidR="001C21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рограми.</w:t>
      </w:r>
    </w:p>
    <w:p w:rsidR="004913C5" w:rsidRPr="001C2164" w:rsidRDefault="004913C5" w:rsidP="005017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Програми</w:t>
      </w:r>
      <w:r w:rsidR="00DC5222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цілому спрямоване на покращення</w:t>
      </w:r>
      <w:r w:rsidR="00C90DDB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надання послуг центрального оп</w:t>
      </w:r>
      <w:r w:rsidR="00DC5222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0DDB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C5222" w:rsidRPr="001C2164">
        <w:rPr>
          <w:rFonts w:ascii="Times New Roman" w:hAnsi="Times New Roman" w:cs="Times New Roman"/>
          <w:color w:val="000000" w:themeColor="text1"/>
          <w:sz w:val="28"/>
          <w:szCs w:val="28"/>
        </w:rPr>
        <w:t>ення та гарячого водопостачання населенню та підприємствам і установам м. Кременчука.</w:t>
      </w:r>
    </w:p>
    <w:p w:rsidR="006F2F46" w:rsidRPr="001C2164" w:rsidRDefault="006F2F46" w:rsidP="009D6C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2.4. Ресурсне забезпечення Програми.</w:t>
      </w:r>
    </w:p>
    <w:p w:rsidR="009D6C83" w:rsidRPr="001C2164" w:rsidRDefault="009D6C83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Всі заходи Програми передбачені до реалізації протягом </w:t>
      </w:r>
      <w:r w:rsidR="0050176A" w:rsidRPr="001C2164">
        <w:rPr>
          <w:rFonts w:ascii="Times New Roman" w:hAnsi="Times New Roman" w:cs="Times New Roman"/>
          <w:sz w:val="28"/>
          <w:szCs w:val="28"/>
        </w:rPr>
        <w:t>2019-2021 років</w:t>
      </w:r>
      <w:r w:rsidRPr="001C2164">
        <w:rPr>
          <w:rFonts w:ascii="Times New Roman" w:hAnsi="Times New Roman" w:cs="Times New Roman"/>
          <w:sz w:val="28"/>
          <w:szCs w:val="28"/>
        </w:rPr>
        <w:t>.</w:t>
      </w:r>
    </w:p>
    <w:p w:rsidR="009D6C83" w:rsidRPr="001C2164" w:rsidRDefault="009D6C83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в межах коштів, передбаченнях у бюджеті міста на відповідний рік за загальним та спеціальним фондами бюджету.</w:t>
      </w:r>
    </w:p>
    <w:p w:rsidR="00DC5222" w:rsidRPr="001C2164" w:rsidRDefault="00DC5222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2164">
        <w:rPr>
          <w:rFonts w:ascii="Times New Roman" w:hAnsi="Times New Roman" w:cs="Times New Roman"/>
          <w:sz w:val="28"/>
          <w:szCs w:val="28"/>
        </w:rPr>
        <w:t>В цілому для реалізації Програм</w:t>
      </w:r>
      <w:r w:rsidR="0043338C" w:rsidRPr="001C2164">
        <w:rPr>
          <w:rFonts w:ascii="Times New Roman" w:hAnsi="Times New Roman" w:cs="Times New Roman"/>
          <w:sz w:val="28"/>
          <w:szCs w:val="28"/>
        </w:rPr>
        <w:t>и необхідно 47078,71</w:t>
      </w:r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6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C2164">
        <w:rPr>
          <w:rFonts w:ascii="Times New Roman" w:hAnsi="Times New Roman" w:cs="Times New Roman"/>
          <w:sz w:val="28"/>
          <w:szCs w:val="28"/>
        </w:rPr>
        <w:t>.</w:t>
      </w:r>
      <w:r w:rsidR="00027A6E" w:rsidRPr="001C2164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1E1A35" w:rsidRPr="001C2164" w:rsidRDefault="001E1A35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761"/>
        <w:gridCol w:w="1417"/>
        <w:gridCol w:w="1418"/>
        <w:gridCol w:w="2014"/>
      </w:tblGrid>
      <w:tr w:rsidR="00F21780" w:rsidRPr="001C2164" w:rsidTr="00F21780">
        <w:trPr>
          <w:trHeight w:val="132"/>
        </w:trPr>
        <w:tc>
          <w:tcPr>
            <w:tcW w:w="3059" w:type="dxa"/>
            <w:vMerge w:val="restart"/>
          </w:tcPr>
          <w:p w:rsidR="00F21780" w:rsidRPr="001C2164" w:rsidRDefault="00F21780" w:rsidP="00F21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4596" w:type="dxa"/>
            <w:gridSpan w:val="3"/>
          </w:tcPr>
          <w:p w:rsidR="00F21780" w:rsidRPr="001C2164" w:rsidRDefault="00F21780" w:rsidP="00F21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Терміни виконання програми</w:t>
            </w:r>
          </w:p>
        </w:tc>
        <w:tc>
          <w:tcPr>
            <w:tcW w:w="2014" w:type="dxa"/>
            <w:vMerge w:val="restart"/>
          </w:tcPr>
          <w:p w:rsidR="00F21780" w:rsidRPr="001C2164" w:rsidRDefault="00F21780" w:rsidP="00F21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F21780" w:rsidRPr="001C2164" w:rsidTr="00F21780">
        <w:trPr>
          <w:trHeight w:val="958"/>
        </w:trPr>
        <w:tc>
          <w:tcPr>
            <w:tcW w:w="3059" w:type="dxa"/>
            <w:vMerge/>
          </w:tcPr>
          <w:p w:rsidR="00F21780" w:rsidRPr="001C2164" w:rsidRDefault="00F21780" w:rsidP="00DC5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21780" w:rsidRPr="001C2164" w:rsidRDefault="00F21780" w:rsidP="00F21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2019 рік</w:t>
            </w:r>
          </w:p>
        </w:tc>
        <w:tc>
          <w:tcPr>
            <w:tcW w:w="1417" w:type="dxa"/>
          </w:tcPr>
          <w:p w:rsidR="00F21780" w:rsidRPr="001C2164" w:rsidRDefault="00F21780" w:rsidP="00F21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2020 рік</w:t>
            </w:r>
          </w:p>
        </w:tc>
        <w:tc>
          <w:tcPr>
            <w:tcW w:w="1418" w:type="dxa"/>
          </w:tcPr>
          <w:p w:rsidR="00F21780" w:rsidRPr="001C2164" w:rsidRDefault="00F21780" w:rsidP="00F217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 xml:space="preserve">2021 рік </w:t>
            </w:r>
          </w:p>
        </w:tc>
        <w:tc>
          <w:tcPr>
            <w:tcW w:w="2014" w:type="dxa"/>
            <w:vMerge/>
          </w:tcPr>
          <w:p w:rsidR="00F21780" w:rsidRPr="001C2164" w:rsidRDefault="00F21780" w:rsidP="00DC5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38C" w:rsidRPr="001C2164" w:rsidTr="00F21780">
        <w:trPr>
          <w:trHeight w:val="157"/>
        </w:trPr>
        <w:tc>
          <w:tcPr>
            <w:tcW w:w="3059" w:type="dxa"/>
          </w:tcPr>
          <w:p w:rsidR="0043338C" w:rsidRPr="001C2164" w:rsidRDefault="0043338C" w:rsidP="00F21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Заміна аварі</w:t>
            </w:r>
            <w:r w:rsidR="0063391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 xml:space="preserve">них ділянок трубопроводів центрального опалення </w:t>
            </w:r>
          </w:p>
        </w:tc>
        <w:tc>
          <w:tcPr>
            <w:tcW w:w="1761" w:type="dxa"/>
          </w:tcPr>
          <w:p w:rsidR="0043338C" w:rsidRPr="001C2164" w:rsidRDefault="0043338C" w:rsidP="00D80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7631,10</w:t>
            </w:r>
          </w:p>
        </w:tc>
        <w:tc>
          <w:tcPr>
            <w:tcW w:w="1417" w:type="dxa"/>
          </w:tcPr>
          <w:p w:rsidR="0043338C" w:rsidRPr="001C2164" w:rsidRDefault="0043338C" w:rsidP="00D80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13617,28</w:t>
            </w:r>
          </w:p>
        </w:tc>
        <w:tc>
          <w:tcPr>
            <w:tcW w:w="1418" w:type="dxa"/>
          </w:tcPr>
          <w:p w:rsidR="0043338C" w:rsidRPr="001C2164" w:rsidRDefault="0043338C" w:rsidP="00F21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9942,05</w:t>
            </w:r>
          </w:p>
        </w:tc>
        <w:tc>
          <w:tcPr>
            <w:tcW w:w="2014" w:type="dxa"/>
          </w:tcPr>
          <w:p w:rsidR="0043338C" w:rsidRPr="001C2164" w:rsidRDefault="0043338C" w:rsidP="00F21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31190,43</w:t>
            </w:r>
          </w:p>
        </w:tc>
      </w:tr>
      <w:tr w:rsidR="0043338C" w:rsidRPr="001C2164" w:rsidTr="00027A6E">
        <w:trPr>
          <w:trHeight w:val="846"/>
        </w:trPr>
        <w:tc>
          <w:tcPr>
            <w:tcW w:w="3059" w:type="dxa"/>
          </w:tcPr>
          <w:p w:rsidR="0043338C" w:rsidRPr="001C2164" w:rsidRDefault="0043338C" w:rsidP="00F21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Заміна аварі</w:t>
            </w:r>
            <w:r w:rsidR="0063391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них ділянок гарячого водопостачання</w:t>
            </w:r>
          </w:p>
        </w:tc>
        <w:tc>
          <w:tcPr>
            <w:tcW w:w="1761" w:type="dxa"/>
          </w:tcPr>
          <w:p w:rsidR="0043338C" w:rsidRPr="001C2164" w:rsidRDefault="0043338C" w:rsidP="00D80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2335,14</w:t>
            </w:r>
          </w:p>
        </w:tc>
        <w:tc>
          <w:tcPr>
            <w:tcW w:w="1417" w:type="dxa"/>
          </w:tcPr>
          <w:p w:rsidR="0043338C" w:rsidRPr="001C2164" w:rsidRDefault="0043338C" w:rsidP="00D80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3709,34</w:t>
            </w:r>
          </w:p>
        </w:tc>
        <w:tc>
          <w:tcPr>
            <w:tcW w:w="1418" w:type="dxa"/>
          </w:tcPr>
          <w:p w:rsidR="0043338C" w:rsidRPr="001C2164" w:rsidRDefault="0043338C" w:rsidP="008D73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9843,80</w:t>
            </w:r>
          </w:p>
        </w:tc>
        <w:tc>
          <w:tcPr>
            <w:tcW w:w="2014" w:type="dxa"/>
          </w:tcPr>
          <w:p w:rsidR="0043338C" w:rsidRPr="001C2164" w:rsidRDefault="0043338C" w:rsidP="008705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15888,28</w:t>
            </w:r>
          </w:p>
        </w:tc>
      </w:tr>
      <w:tr w:rsidR="0043338C" w:rsidRPr="001C2164" w:rsidTr="00F21780">
        <w:trPr>
          <w:trHeight w:val="200"/>
        </w:trPr>
        <w:tc>
          <w:tcPr>
            <w:tcW w:w="3059" w:type="dxa"/>
          </w:tcPr>
          <w:p w:rsidR="0043338C" w:rsidRPr="001C2164" w:rsidRDefault="0043338C" w:rsidP="00DC5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1761" w:type="dxa"/>
          </w:tcPr>
          <w:p w:rsidR="0043338C" w:rsidRPr="001C2164" w:rsidRDefault="0043338C" w:rsidP="00D80D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9966,24</w:t>
            </w:r>
          </w:p>
        </w:tc>
        <w:tc>
          <w:tcPr>
            <w:tcW w:w="1417" w:type="dxa"/>
          </w:tcPr>
          <w:p w:rsidR="0043338C" w:rsidRPr="001C2164" w:rsidRDefault="0043338C" w:rsidP="00D80D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17326,62</w:t>
            </w:r>
          </w:p>
        </w:tc>
        <w:tc>
          <w:tcPr>
            <w:tcW w:w="1418" w:type="dxa"/>
          </w:tcPr>
          <w:p w:rsidR="0043338C" w:rsidRPr="001C2164" w:rsidRDefault="0043338C" w:rsidP="00027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19785,85</w:t>
            </w:r>
          </w:p>
        </w:tc>
        <w:tc>
          <w:tcPr>
            <w:tcW w:w="2014" w:type="dxa"/>
          </w:tcPr>
          <w:p w:rsidR="0043338C" w:rsidRPr="001C2164" w:rsidRDefault="0043338C" w:rsidP="00027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64">
              <w:rPr>
                <w:rFonts w:ascii="Times New Roman" w:hAnsi="Times New Roman" w:cs="Times New Roman"/>
                <w:sz w:val="28"/>
                <w:szCs w:val="28"/>
              </w:rPr>
              <w:t>47078,71</w:t>
            </w:r>
          </w:p>
        </w:tc>
      </w:tr>
    </w:tbl>
    <w:p w:rsidR="00027A6E" w:rsidRPr="001C2164" w:rsidRDefault="00027A6E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7A6E" w:rsidRPr="001C2164" w:rsidRDefault="00DF7B61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*</w:t>
      </w:r>
      <w:r w:rsidR="00027A6E" w:rsidRPr="001C2164">
        <w:rPr>
          <w:rFonts w:ascii="Times New Roman" w:hAnsi="Times New Roman" w:cs="Times New Roman"/>
          <w:sz w:val="28"/>
          <w:szCs w:val="28"/>
        </w:rPr>
        <w:t>Обсяг коштів, які пропонуються залучити на виконання Програми застосовуються станом на 2018 рік, згідно специфікації договору №01/18ТПФ від 21.05.2018 року.</w:t>
      </w:r>
    </w:p>
    <w:p w:rsidR="009D6C83" w:rsidRPr="001C2164" w:rsidRDefault="009D6C83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В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 виходячи з реальних можливост</w:t>
      </w:r>
      <w:r w:rsidR="0050176A" w:rsidRPr="001C2164">
        <w:rPr>
          <w:rFonts w:ascii="Times New Roman" w:hAnsi="Times New Roman" w:cs="Times New Roman"/>
          <w:sz w:val="28"/>
          <w:szCs w:val="28"/>
        </w:rPr>
        <w:t>ей бюджету, зміною ціни на матеріали (інфляційні ризики).</w:t>
      </w:r>
    </w:p>
    <w:p w:rsidR="001414C8" w:rsidRPr="001C2164" w:rsidRDefault="001414C8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Обсяги фінансування заходів Програми уточнюються при підготовці та винесенні на розгляд Кременчуцької міської ради проекту бюджету міста на відповідний рік.</w:t>
      </w:r>
    </w:p>
    <w:p w:rsidR="009D6C83" w:rsidRPr="001C2164" w:rsidRDefault="006F2F46" w:rsidP="009D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b/>
          <w:sz w:val="28"/>
          <w:szCs w:val="28"/>
        </w:rPr>
        <w:t>ІІІ</w:t>
      </w:r>
      <w:r w:rsidR="009D6C83" w:rsidRPr="001C2164">
        <w:rPr>
          <w:rFonts w:ascii="Times New Roman" w:hAnsi="Times New Roman" w:cs="Times New Roman"/>
          <w:b/>
          <w:sz w:val="28"/>
          <w:szCs w:val="28"/>
        </w:rPr>
        <w:t xml:space="preserve">. Організація управління </w:t>
      </w:r>
      <w:r w:rsidRPr="001C2164">
        <w:rPr>
          <w:rFonts w:ascii="Times New Roman" w:hAnsi="Times New Roman" w:cs="Times New Roman"/>
          <w:b/>
          <w:sz w:val="28"/>
          <w:szCs w:val="28"/>
        </w:rPr>
        <w:t>та контролю за ходом виконання П</w:t>
      </w:r>
      <w:r w:rsidR="009D6C83" w:rsidRPr="001C2164">
        <w:rPr>
          <w:rFonts w:ascii="Times New Roman" w:hAnsi="Times New Roman" w:cs="Times New Roman"/>
          <w:b/>
          <w:sz w:val="28"/>
          <w:szCs w:val="28"/>
        </w:rPr>
        <w:t>рограми</w:t>
      </w:r>
      <w:r w:rsidRPr="001C2164">
        <w:rPr>
          <w:rFonts w:ascii="Times New Roman" w:hAnsi="Times New Roman" w:cs="Times New Roman"/>
          <w:sz w:val="28"/>
          <w:szCs w:val="28"/>
        </w:rPr>
        <w:t>.</w:t>
      </w:r>
    </w:p>
    <w:p w:rsidR="004E15DB" w:rsidRPr="001C2164" w:rsidRDefault="0050176A" w:rsidP="00633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1414C8" w:rsidRPr="001C2164">
        <w:rPr>
          <w:rFonts w:ascii="Times New Roman" w:hAnsi="Times New Roman" w:cs="Times New Roman"/>
          <w:sz w:val="28"/>
          <w:szCs w:val="28"/>
        </w:rPr>
        <w:t xml:space="preserve"> житлово-</w:t>
      </w:r>
      <w:r w:rsidR="009D6C83" w:rsidRPr="001C2164">
        <w:rPr>
          <w:rFonts w:ascii="Times New Roman" w:hAnsi="Times New Roman" w:cs="Times New Roman"/>
          <w:sz w:val="28"/>
          <w:szCs w:val="28"/>
        </w:rPr>
        <w:t xml:space="preserve">комунального господарства виконавчого комітету Кременчуцької міської ради здійснює організацію, управління та внутрішній контроль за ходом виконання </w:t>
      </w:r>
      <w:r w:rsidR="00633914">
        <w:rPr>
          <w:rFonts w:ascii="Times New Roman" w:hAnsi="Times New Roman" w:cs="Times New Roman"/>
          <w:sz w:val="28"/>
          <w:szCs w:val="28"/>
        </w:rPr>
        <w:t>П</w:t>
      </w:r>
      <w:r w:rsidR="009D6C83" w:rsidRPr="001C2164">
        <w:rPr>
          <w:rFonts w:ascii="Times New Roman" w:hAnsi="Times New Roman" w:cs="Times New Roman"/>
          <w:sz w:val="28"/>
          <w:szCs w:val="28"/>
        </w:rPr>
        <w:t>рограми.</w:t>
      </w:r>
    </w:p>
    <w:sectPr w:rsidR="004E15DB" w:rsidRPr="001C2164" w:rsidSect="00F01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94A"/>
    <w:multiLevelType w:val="hybridMultilevel"/>
    <w:tmpl w:val="7A0CBDE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8A75279"/>
    <w:multiLevelType w:val="hybridMultilevel"/>
    <w:tmpl w:val="565466CA"/>
    <w:lvl w:ilvl="0" w:tplc="3D5C67E6">
      <w:start w:val="1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5DB"/>
    <w:rsid w:val="00024B28"/>
    <w:rsid w:val="00024C0F"/>
    <w:rsid w:val="00027A6E"/>
    <w:rsid w:val="00040C76"/>
    <w:rsid w:val="00082629"/>
    <w:rsid w:val="000A5C6E"/>
    <w:rsid w:val="000B6EB2"/>
    <w:rsid w:val="000D0F3D"/>
    <w:rsid w:val="000D6BA8"/>
    <w:rsid w:val="00110A48"/>
    <w:rsid w:val="001414C8"/>
    <w:rsid w:val="001C12B3"/>
    <w:rsid w:val="001C2164"/>
    <w:rsid w:val="001E1A35"/>
    <w:rsid w:val="0021077A"/>
    <w:rsid w:val="002A6392"/>
    <w:rsid w:val="002C6D73"/>
    <w:rsid w:val="002C7C6C"/>
    <w:rsid w:val="00311A05"/>
    <w:rsid w:val="003248FE"/>
    <w:rsid w:val="00330141"/>
    <w:rsid w:val="00334AF1"/>
    <w:rsid w:val="004307B3"/>
    <w:rsid w:val="0043338C"/>
    <w:rsid w:val="0047607F"/>
    <w:rsid w:val="00476D19"/>
    <w:rsid w:val="004913C5"/>
    <w:rsid w:val="004B1813"/>
    <w:rsid w:val="004D0152"/>
    <w:rsid w:val="004E15DB"/>
    <w:rsid w:val="004F7510"/>
    <w:rsid w:val="0050176A"/>
    <w:rsid w:val="005523AE"/>
    <w:rsid w:val="005749A0"/>
    <w:rsid w:val="005F6045"/>
    <w:rsid w:val="00611F2D"/>
    <w:rsid w:val="00633914"/>
    <w:rsid w:val="00644CD0"/>
    <w:rsid w:val="006519CE"/>
    <w:rsid w:val="00681619"/>
    <w:rsid w:val="006F2F46"/>
    <w:rsid w:val="006F30BC"/>
    <w:rsid w:val="00734925"/>
    <w:rsid w:val="00741CF1"/>
    <w:rsid w:val="00750636"/>
    <w:rsid w:val="00773378"/>
    <w:rsid w:val="00780FF4"/>
    <w:rsid w:val="00797C15"/>
    <w:rsid w:val="007C6E2F"/>
    <w:rsid w:val="008449F0"/>
    <w:rsid w:val="00870522"/>
    <w:rsid w:val="00870EEA"/>
    <w:rsid w:val="008D73C5"/>
    <w:rsid w:val="00942B8F"/>
    <w:rsid w:val="009545AC"/>
    <w:rsid w:val="00993E11"/>
    <w:rsid w:val="009B5F6C"/>
    <w:rsid w:val="009D6C83"/>
    <w:rsid w:val="009E59F0"/>
    <w:rsid w:val="009E5D73"/>
    <w:rsid w:val="00A2590B"/>
    <w:rsid w:val="00AC79A2"/>
    <w:rsid w:val="00AD0B85"/>
    <w:rsid w:val="00B304AB"/>
    <w:rsid w:val="00B54208"/>
    <w:rsid w:val="00BA779D"/>
    <w:rsid w:val="00BE542D"/>
    <w:rsid w:val="00BE79F7"/>
    <w:rsid w:val="00C90DDB"/>
    <w:rsid w:val="00CB202F"/>
    <w:rsid w:val="00CC5BE2"/>
    <w:rsid w:val="00CD71BB"/>
    <w:rsid w:val="00CF7AD6"/>
    <w:rsid w:val="00D3292B"/>
    <w:rsid w:val="00D475A7"/>
    <w:rsid w:val="00D55CB4"/>
    <w:rsid w:val="00D60FEF"/>
    <w:rsid w:val="00D928E0"/>
    <w:rsid w:val="00DC0EF2"/>
    <w:rsid w:val="00DC5222"/>
    <w:rsid w:val="00DD0C65"/>
    <w:rsid w:val="00DE5577"/>
    <w:rsid w:val="00DF7B61"/>
    <w:rsid w:val="00E1520A"/>
    <w:rsid w:val="00E67B41"/>
    <w:rsid w:val="00E71544"/>
    <w:rsid w:val="00EA39A7"/>
    <w:rsid w:val="00F0095A"/>
    <w:rsid w:val="00F0171E"/>
    <w:rsid w:val="00F21780"/>
    <w:rsid w:val="00F61A30"/>
    <w:rsid w:val="00FC1F1D"/>
    <w:rsid w:val="00FE5409"/>
    <w:rsid w:val="00F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52"/>
    <w:pPr>
      <w:ind w:left="720"/>
      <w:contextualSpacing/>
    </w:pPr>
  </w:style>
  <w:style w:type="table" w:styleId="a4">
    <w:name w:val="Table Grid"/>
    <w:basedOn w:val="a1"/>
    <w:uiPriority w:val="59"/>
    <w:rsid w:val="006F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52"/>
    <w:pPr>
      <w:ind w:left="720"/>
      <w:contextualSpacing/>
    </w:pPr>
  </w:style>
  <w:style w:type="table" w:styleId="a4">
    <w:name w:val="Table Grid"/>
    <w:basedOn w:val="a1"/>
    <w:uiPriority w:val="59"/>
    <w:rsid w:val="006F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10631</Words>
  <Characters>6060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TarifAdmin</dc:creator>
  <cp:lastModifiedBy>home</cp:lastModifiedBy>
  <cp:revision>50</cp:revision>
  <cp:lastPrinted>2018-09-11T11:59:00Z</cp:lastPrinted>
  <dcterms:created xsi:type="dcterms:W3CDTF">2018-07-26T13:57:00Z</dcterms:created>
  <dcterms:modified xsi:type="dcterms:W3CDTF">2018-09-12T14:01:00Z</dcterms:modified>
</cp:coreProperties>
</file>