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8B2" w:rsidRDefault="003D68B2" w:rsidP="003D68B2">
      <w:pPr>
        <w:ind w:left="5103"/>
        <w:rPr>
          <w:b/>
          <w:bCs/>
          <w:sz w:val="28"/>
          <w:szCs w:val="28"/>
          <w:lang w:eastAsia="ru-RU"/>
        </w:rPr>
      </w:pPr>
      <w:r>
        <w:rPr>
          <w:b/>
          <w:bCs/>
          <w:sz w:val="28"/>
          <w:szCs w:val="28"/>
          <w:lang w:eastAsia="ru-RU"/>
        </w:rPr>
        <w:t>Додаток 1</w:t>
      </w:r>
    </w:p>
    <w:p w:rsidR="003D68B2" w:rsidRDefault="003D68B2" w:rsidP="003D68B2">
      <w:pPr>
        <w:tabs>
          <w:tab w:val="left" w:pos="7200"/>
        </w:tabs>
        <w:ind w:left="5103"/>
        <w:rPr>
          <w:b/>
          <w:bCs/>
          <w:sz w:val="28"/>
          <w:szCs w:val="28"/>
          <w:lang w:eastAsia="ru-RU"/>
        </w:rPr>
      </w:pPr>
      <w:r>
        <w:rPr>
          <w:b/>
          <w:bCs/>
          <w:sz w:val="28"/>
          <w:szCs w:val="28"/>
          <w:lang w:eastAsia="ru-RU"/>
        </w:rPr>
        <w:t xml:space="preserve">до рішення міської ради  </w:t>
      </w:r>
    </w:p>
    <w:p w:rsidR="003D68B2" w:rsidRDefault="003D68B2" w:rsidP="003D68B2">
      <w:pPr>
        <w:tabs>
          <w:tab w:val="left" w:pos="7200"/>
        </w:tabs>
        <w:ind w:left="5103"/>
        <w:rPr>
          <w:b/>
          <w:bCs/>
          <w:sz w:val="28"/>
          <w:szCs w:val="28"/>
          <w:lang w:eastAsia="ru-RU"/>
        </w:rPr>
      </w:pPr>
      <w:r>
        <w:rPr>
          <w:b/>
          <w:bCs/>
          <w:sz w:val="28"/>
          <w:szCs w:val="28"/>
          <w:lang w:eastAsia="ru-RU"/>
        </w:rPr>
        <w:t xml:space="preserve">від </w:t>
      </w:r>
      <w:r w:rsidR="00663380">
        <w:rPr>
          <w:b/>
          <w:bCs/>
          <w:sz w:val="28"/>
          <w:szCs w:val="28"/>
          <w:lang w:eastAsia="ru-RU"/>
        </w:rPr>
        <w:t xml:space="preserve"> 11</w:t>
      </w:r>
      <w:r w:rsidR="00164E32">
        <w:rPr>
          <w:b/>
          <w:bCs/>
          <w:sz w:val="28"/>
          <w:szCs w:val="28"/>
          <w:lang w:eastAsia="ru-RU"/>
        </w:rPr>
        <w:t xml:space="preserve"> .10</w:t>
      </w:r>
      <w:r>
        <w:rPr>
          <w:b/>
          <w:bCs/>
          <w:sz w:val="28"/>
          <w:szCs w:val="28"/>
          <w:lang w:eastAsia="ru-RU"/>
        </w:rPr>
        <w:t xml:space="preserve">.2018  </w:t>
      </w:r>
    </w:p>
    <w:p w:rsidR="003D68B2" w:rsidRDefault="003D68B2" w:rsidP="003D68B2">
      <w:pPr>
        <w:rPr>
          <w:b/>
          <w:sz w:val="28"/>
          <w:szCs w:val="28"/>
          <w:lang w:val="ru-RU" w:eastAsia="ru-RU"/>
        </w:rPr>
      </w:pPr>
      <w:r>
        <w:rPr>
          <w:b/>
          <w:sz w:val="28"/>
          <w:szCs w:val="28"/>
          <w:lang w:eastAsia="ru-RU"/>
        </w:rPr>
        <w:t xml:space="preserve">    </w:t>
      </w:r>
      <w:r>
        <w:rPr>
          <w:b/>
          <w:sz w:val="28"/>
          <w:szCs w:val="28"/>
          <w:lang w:eastAsia="ru-RU"/>
        </w:rPr>
        <w:tab/>
      </w:r>
      <w:r>
        <w:rPr>
          <w:b/>
          <w:sz w:val="28"/>
          <w:szCs w:val="28"/>
          <w:lang w:eastAsia="ru-RU"/>
        </w:rPr>
        <w:tab/>
      </w:r>
      <w:r>
        <w:rPr>
          <w:b/>
          <w:sz w:val="28"/>
          <w:szCs w:val="28"/>
          <w:lang w:eastAsia="ru-RU"/>
        </w:rPr>
        <w:tab/>
      </w:r>
      <w:r>
        <w:rPr>
          <w:b/>
          <w:sz w:val="28"/>
          <w:szCs w:val="28"/>
          <w:lang w:eastAsia="ru-RU"/>
        </w:rPr>
        <w:tab/>
      </w:r>
      <w:r>
        <w:rPr>
          <w:b/>
          <w:sz w:val="28"/>
          <w:szCs w:val="28"/>
          <w:lang w:eastAsia="ru-RU"/>
        </w:rPr>
        <w:tab/>
      </w:r>
      <w:r>
        <w:rPr>
          <w:b/>
          <w:sz w:val="28"/>
          <w:szCs w:val="28"/>
          <w:lang w:eastAsia="ru-RU"/>
        </w:rPr>
        <w:tab/>
      </w:r>
      <w:r>
        <w:rPr>
          <w:b/>
          <w:sz w:val="28"/>
          <w:szCs w:val="28"/>
          <w:lang w:eastAsia="ru-RU"/>
        </w:rPr>
        <w:tab/>
        <w:t xml:space="preserve">  </w:t>
      </w:r>
    </w:p>
    <w:p w:rsidR="003D68B2" w:rsidRDefault="003D68B2" w:rsidP="003D68B2">
      <w:pPr>
        <w:jc w:val="center"/>
        <w:rPr>
          <w:b/>
          <w:sz w:val="28"/>
          <w:szCs w:val="28"/>
          <w:lang w:eastAsia="ru-RU"/>
        </w:rPr>
      </w:pPr>
    </w:p>
    <w:p w:rsidR="005E6794" w:rsidRDefault="005E6794" w:rsidP="005E6794">
      <w:pPr>
        <w:jc w:val="center"/>
        <w:rPr>
          <w:b/>
          <w:sz w:val="28"/>
          <w:szCs w:val="28"/>
        </w:rPr>
      </w:pPr>
      <w:r>
        <w:rPr>
          <w:b/>
          <w:sz w:val="28"/>
          <w:szCs w:val="28"/>
        </w:rPr>
        <w:t>ПОЯСНЮВАЛЬНА ЗАПИСКА</w:t>
      </w:r>
    </w:p>
    <w:p w:rsidR="005E6794" w:rsidRDefault="005E6794" w:rsidP="005E6794">
      <w:pPr>
        <w:jc w:val="center"/>
        <w:rPr>
          <w:b/>
          <w:sz w:val="28"/>
          <w:szCs w:val="28"/>
        </w:rPr>
      </w:pPr>
      <w:r>
        <w:rPr>
          <w:b/>
          <w:sz w:val="28"/>
          <w:szCs w:val="28"/>
        </w:rPr>
        <w:t xml:space="preserve">про виконання міського  бюджету </w:t>
      </w:r>
    </w:p>
    <w:p w:rsidR="005E6794" w:rsidRDefault="005E6794" w:rsidP="005E6794">
      <w:pPr>
        <w:jc w:val="center"/>
        <w:rPr>
          <w:b/>
          <w:sz w:val="28"/>
          <w:szCs w:val="28"/>
        </w:rPr>
      </w:pPr>
      <w:r>
        <w:rPr>
          <w:b/>
          <w:sz w:val="28"/>
          <w:szCs w:val="28"/>
        </w:rPr>
        <w:t>за І півріччя   2018  року</w:t>
      </w:r>
    </w:p>
    <w:p w:rsidR="005E6794" w:rsidRDefault="005E6794" w:rsidP="005E6794">
      <w:pPr>
        <w:jc w:val="center"/>
        <w:rPr>
          <w:b/>
          <w:sz w:val="28"/>
          <w:szCs w:val="28"/>
        </w:rPr>
      </w:pPr>
    </w:p>
    <w:p w:rsidR="005E6794" w:rsidRDefault="005E6794" w:rsidP="005E6794">
      <w:pPr>
        <w:ind w:firstLine="709"/>
        <w:rPr>
          <w:b/>
          <w:bCs/>
          <w:sz w:val="28"/>
          <w:szCs w:val="28"/>
        </w:rPr>
      </w:pPr>
      <w:r>
        <w:rPr>
          <w:b/>
          <w:sz w:val="28"/>
          <w:szCs w:val="28"/>
        </w:rPr>
        <w:t xml:space="preserve">                                           ДОХОДИ</w:t>
      </w:r>
    </w:p>
    <w:p w:rsidR="005E6794" w:rsidRDefault="005E6794" w:rsidP="005E6794">
      <w:pPr>
        <w:rPr>
          <w:b/>
          <w:bCs/>
          <w:sz w:val="28"/>
          <w:szCs w:val="28"/>
        </w:rPr>
      </w:pPr>
      <w:r>
        <w:rPr>
          <w:b/>
          <w:bCs/>
          <w:sz w:val="28"/>
          <w:szCs w:val="28"/>
        </w:rPr>
        <w:t xml:space="preserve">                                                 Загальний фонд</w:t>
      </w:r>
    </w:p>
    <w:p w:rsidR="005E6794" w:rsidRDefault="005E6794" w:rsidP="005E6794">
      <w:pPr>
        <w:rPr>
          <w:sz w:val="28"/>
          <w:szCs w:val="28"/>
        </w:rPr>
      </w:pPr>
    </w:p>
    <w:p w:rsidR="005E6794" w:rsidRDefault="005E6794" w:rsidP="005E6794">
      <w:pPr>
        <w:ind w:firstLine="709"/>
        <w:jc w:val="both"/>
        <w:rPr>
          <w:sz w:val="28"/>
          <w:szCs w:val="28"/>
        </w:rPr>
      </w:pPr>
      <w:r>
        <w:rPr>
          <w:sz w:val="28"/>
          <w:szCs w:val="28"/>
        </w:rPr>
        <w:t xml:space="preserve">Відповідно до звіту, поданого Управлінням Державної казначейської служби України у м. </w:t>
      </w:r>
      <w:proofErr w:type="spellStart"/>
      <w:r>
        <w:rPr>
          <w:sz w:val="28"/>
          <w:szCs w:val="28"/>
        </w:rPr>
        <w:t>Кременчуці</w:t>
      </w:r>
      <w:proofErr w:type="spellEnd"/>
      <w:r>
        <w:rPr>
          <w:sz w:val="28"/>
          <w:szCs w:val="28"/>
        </w:rPr>
        <w:t xml:space="preserve"> Полтавської області, станом на 01.07.2018  до  міського бюджету міста  Кременчука  при затвердженому річному  плані      2 711 361,020 тис. грн. надійшло доходів всього 1 437 798,964  тис. грн. або         53,0 % до річного плану. На звітну дату виконання плану забезпечено на 95,2%  (план 1 510 939,103 тис. грн.). </w:t>
      </w:r>
    </w:p>
    <w:p w:rsidR="005E6794" w:rsidRDefault="005E6794" w:rsidP="005E6794">
      <w:pPr>
        <w:ind w:firstLine="709"/>
        <w:jc w:val="right"/>
        <w:rPr>
          <w:sz w:val="28"/>
          <w:szCs w:val="28"/>
        </w:rPr>
      </w:pPr>
      <w:r>
        <w:rPr>
          <w:sz w:val="28"/>
          <w:szCs w:val="28"/>
        </w:rPr>
        <w:t>тис. грн.</w:t>
      </w:r>
    </w:p>
    <w:p w:rsidR="005E6794" w:rsidRDefault="005E6794" w:rsidP="005E6794">
      <w:pPr>
        <w:ind w:firstLine="709"/>
        <w:jc w:val="right"/>
        <w:rPr>
          <w:sz w:val="28"/>
          <w:szCs w:val="28"/>
        </w:rPr>
      </w:pPr>
    </w:p>
    <w:p w:rsidR="005E6794" w:rsidRDefault="005E6794" w:rsidP="005E6794">
      <w:pPr>
        <w:pBdr>
          <w:top w:val="single" w:sz="4" w:space="1" w:color="auto"/>
          <w:left w:val="single" w:sz="4" w:space="4" w:color="auto"/>
          <w:bottom w:val="single" w:sz="4" w:space="0" w:color="auto"/>
          <w:right w:val="single" w:sz="4" w:space="4" w:color="auto"/>
        </w:pBdr>
        <w:jc w:val="both"/>
        <w:rPr>
          <w:sz w:val="28"/>
          <w:szCs w:val="28"/>
        </w:rPr>
      </w:pPr>
      <w:r>
        <w:rPr>
          <w:b/>
          <w:bCs/>
          <w:i/>
          <w:iCs/>
          <w:noProof/>
          <w:sz w:val="28"/>
          <w:szCs w:val="28"/>
          <w:lang w:val="ru-RU" w:eastAsia="ru-RU"/>
        </w:rPr>
        <w:drawing>
          <wp:inline distT="0" distB="0" distL="0" distR="0">
            <wp:extent cx="5969000" cy="42799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000" cy="4279900"/>
                    </a:xfrm>
                    <a:prstGeom prst="rect">
                      <a:avLst/>
                    </a:prstGeom>
                    <a:noFill/>
                    <a:ln>
                      <a:noFill/>
                    </a:ln>
                  </pic:spPr>
                </pic:pic>
              </a:graphicData>
            </a:graphic>
          </wp:inline>
        </w:drawing>
      </w:r>
    </w:p>
    <w:p w:rsidR="005E6794" w:rsidRDefault="005E6794" w:rsidP="005E6794">
      <w:pPr>
        <w:ind w:firstLine="709"/>
        <w:jc w:val="both"/>
        <w:rPr>
          <w:sz w:val="28"/>
          <w:szCs w:val="28"/>
        </w:rPr>
      </w:pPr>
    </w:p>
    <w:p w:rsidR="005E6794" w:rsidRDefault="005E6794" w:rsidP="005E6794">
      <w:pPr>
        <w:ind w:firstLine="709"/>
        <w:jc w:val="both"/>
        <w:rPr>
          <w:sz w:val="28"/>
          <w:szCs w:val="28"/>
        </w:rPr>
      </w:pPr>
      <w:r>
        <w:rPr>
          <w:sz w:val="28"/>
          <w:szCs w:val="28"/>
        </w:rPr>
        <w:t xml:space="preserve">При річному плані по загальному фонду без офіційних трансфертів                  1 468 472,952  тис. грн.  фактично надійшло – 624 809,930 тис. грн.,  виконання до річного плану склало – 42,5%, виконання на звітну дату – 91,7%                     /-/ 56 482,239  тис. грн. (план  681 292,169  тис. грн.). </w:t>
      </w:r>
    </w:p>
    <w:p w:rsidR="005E6794" w:rsidRDefault="005E6794" w:rsidP="005E6794">
      <w:pPr>
        <w:ind w:firstLine="709"/>
        <w:jc w:val="both"/>
        <w:rPr>
          <w:sz w:val="28"/>
          <w:szCs w:val="28"/>
        </w:rPr>
      </w:pPr>
      <w:r>
        <w:rPr>
          <w:sz w:val="28"/>
          <w:szCs w:val="28"/>
        </w:rPr>
        <w:lastRenderedPageBreak/>
        <w:t>По офіційних трансфертах при річному плані 1 242 888,068  тис. грн. фактично надійшло 812 989,034  тис. грн. або 65,4%, виконання на звітну дату забезпечено на 98,0% /-/ 16 657,900  тис. грн. (план  829 646,934 тис. грн.).</w:t>
      </w:r>
    </w:p>
    <w:p w:rsidR="005E6794" w:rsidRDefault="005E6794" w:rsidP="005E6794">
      <w:pPr>
        <w:ind w:firstLine="709"/>
        <w:jc w:val="center"/>
        <w:rPr>
          <w:sz w:val="28"/>
          <w:szCs w:val="28"/>
        </w:rPr>
      </w:pPr>
    </w:p>
    <w:p w:rsidR="005E6794" w:rsidRDefault="005E6794" w:rsidP="005E6794">
      <w:pPr>
        <w:ind w:firstLine="709"/>
        <w:jc w:val="center"/>
        <w:rPr>
          <w:sz w:val="28"/>
          <w:szCs w:val="28"/>
        </w:rPr>
      </w:pPr>
      <w:r>
        <w:rPr>
          <w:sz w:val="28"/>
          <w:szCs w:val="28"/>
        </w:rPr>
        <w:t xml:space="preserve">                                                                                                        тис. грн.</w:t>
      </w:r>
    </w:p>
    <w:p w:rsidR="005E6794" w:rsidRDefault="005E6794" w:rsidP="005E6794">
      <w:pPr>
        <w:jc w:val="both"/>
        <w:rPr>
          <w:sz w:val="28"/>
          <w:szCs w:val="28"/>
        </w:rPr>
      </w:pPr>
      <w:r>
        <w:rPr>
          <w:noProof/>
          <w:sz w:val="20"/>
          <w:szCs w:val="20"/>
          <w:lang w:val="ru-RU" w:eastAsia="ru-RU"/>
        </w:rPr>
        <mc:AlternateContent>
          <mc:Choice Requires="wps">
            <w:drawing>
              <wp:anchor distT="0" distB="0" distL="114300" distR="114300" simplePos="0" relativeHeight="251658240" behindDoc="0" locked="0" layoutInCell="1" allowOverlap="1">
                <wp:simplePos x="0" y="0"/>
                <wp:positionH relativeFrom="column">
                  <wp:posOffset>4714240</wp:posOffset>
                </wp:positionH>
                <wp:positionV relativeFrom="paragraph">
                  <wp:posOffset>1207135</wp:posOffset>
                </wp:positionV>
                <wp:extent cx="996950" cy="1417955"/>
                <wp:effectExtent l="407670" t="132080" r="60325" b="128270"/>
                <wp:wrapNone/>
                <wp:docPr id="12" name="Овальная выноск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786823">
                          <a:off x="0" y="0"/>
                          <a:ext cx="996950" cy="1417955"/>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rsidR="005E6794" w:rsidRDefault="005E6794" w:rsidP="005E6794">
                            <w:pPr>
                              <w:jc w:val="center"/>
                              <w:rPr>
                                <w:b/>
                              </w:rPr>
                            </w:pPr>
                            <w:r>
                              <w:rPr>
                                <w:b/>
                              </w:rPr>
                              <w:t>ВСЬОГО доходів</w:t>
                            </w:r>
                          </w:p>
                          <w:p w:rsidR="005E6794" w:rsidRDefault="005E6794" w:rsidP="005E6794">
                            <w:pPr>
                              <w:jc w:val="center"/>
                              <w:rPr>
                                <w:b/>
                              </w:rPr>
                            </w:pPr>
                            <w:r>
                              <w:rPr>
                                <w:b/>
                              </w:rPr>
                              <w:t>1 437 798,964</w:t>
                            </w:r>
                          </w:p>
                          <w:p w:rsidR="005E6794" w:rsidRDefault="005E6794" w:rsidP="005E67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Овальная выноска 12" o:spid="_x0000_s1026" type="#_x0000_t63" style="position:absolute;left:0;text-align:left;margin-left:371.2pt;margin-top:95.05pt;width:78.5pt;height:111.65pt;rotation:413622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">
                <v:textbox>
                  <w:txbxContent>
                    <w:p w:rsidR="005E6794" w:rsidRDefault="005E6794" w:rsidP="005E6794">
                      <w:pPr>
                        <w:jc w:val="center"/>
                        <w:rPr>
                          <w:b/>
                        </w:rPr>
                      </w:pPr>
                      <w:r>
                        <w:rPr>
                          <w:b/>
                        </w:rPr>
                        <w:t>ВСЬОГО доходів</w:t>
                      </w:r>
                    </w:p>
                    <w:p w:rsidR="005E6794" w:rsidRDefault="005E6794" w:rsidP="005E6794">
                      <w:pPr>
                        <w:jc w:val="center"/>
                        <w:rPr>
                          <w:b/>
                        </w:rPr>
                      </w:pPr>
                      <w:r>
                        <w:rPr>
                          <w:b/>
                        </w:rPr>
                        <w:t>1 437 798,964</w:t>
                      </w:r>
                    </w:p>
                    <w:p w:rsidR="005E6794" w:rsidRDefault="005E6794" w:rsidP="005E6794"/>
                  </w:txbxContent>
                </v:textbox>
              </v:shape>
            </w:pict>
          </mc:Fallback>
        </mc:AlternateContent>
      </w:r>
      <w:r>
        <w:rPr>
          <w:noProof/>
          <w:sz w:val="28"/>
          <w:szCs w:val="28"/>
          <w:lang w:val="ru-RU" w:eastAsia="ru-RU"/>
        </w:rPr>
        <w:drawing>
          <wp:inline distT="0" distB="0" distL="0" distR="0">
            <wp:extent cx="5588000" cy="3606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8000" cy="3606800"/>
                    </a:xfrm>
                    <a:prstGeom prst="rect">
                      <a:avLst/>
                    </a:prstGeom>
                    <a:noFill/>
                    <a:ln>
                      <a:noFill/>
                    </a:ln>
                  </pic:spPr>
                </pic:pic>
              </a:graphicData>
            </a:graphic>
          </wp:inline>
        </w:drawing>
      </w:r>
    </w:p>
    <w:p w:rsidR="005E6794" w:rsidRDefault="005E6794" w:rsidP="005E6794">
      <w:pPr>
        <w:ind w:firstLine="708"/>
        <w:jc w:val="both"/>
        <w:rPr>
          <w:sz w:val="28"/>
          <w:szCs w:val="28"/>
        </w:rPr>
      </w:pPr>
    </w:p>
    <w:p w:rsidR="005E6794" w:rsidRDefault="005E6794" w:rsidP="005E6794">
      <w:pPr>
        <w:ind w:firstLine="708"/>
        <w:jc w:val="both"/>
        <w:rPr>
          <w:sz w:val="28"/>
          <w:szCs w:val="28"/>
        </w:rPr>
      </w:pPr>
    </w:p>
    <w:p w:rsidR="005E6794" w:rsidRDefault="005E6794" w:rsidP="005E6794">
      <w:pPr>
        <w:ind w:firstLine="708"/>
        <w:jc w:val="both"/>
        <w:rPr>
          <w:sz w:val="28"/>
          <w:szCs w:val="28"/>
        </w:rPr>
      </w:pPr>
      <w:r>
        <w:rPr>
          <w:sz w:val="28"/>
          <w:szCs w:val="28"/>
        </w:rPr>
        <w:t>Станом на 01.07.2018 фактично вилучено  коштів до державного бюджету (реверсна дотація) 27 486,600  тис. грн.  при  такому ж плані.</w:t>
      </w:r>
    </w:p>
    <w:p w:rsidR="005E6794" w:rsidRDefault="005E6794" w:rsidP="005E6794">
      <w:pPr>
        <w:ind w:firstLine="708"/>
        <w:jc w:val="both"/>
        <w:rPr>
          <w:sz w:val="28"/>
          <w:szCs w:val="28"/>
        </w:rPr>
      </w:pPr>
      <w:r>
        <w:rPr>
          <w:sz w:val="28"/>
          <w:szCs w:val="28"/>
        </w:rPr>
        <w:t>Виконання запланованих показників в розрізі податкових та неподаткових надходжень забезпечено на:</w:t>
      </w:r>
    </w:p>
    <w:p w:rsidR="005E6794" w:rsidRDefault="005E6794" w:rsidP="005E6794">
      <w:pPr>
        <w:ind w:left="1416" w:firstLine="708"/>
        <w:rPr>
          <w:sz w:val="28"/>
          <w:szCs w:val="28"/>
        </w:rPr>
      </w:pPr>
      <w:r>
        <w:rPr>
          <w:sz w:val="28"/>
          <w:szCs w:val="28"/>
        </w:rPr>
        <w:t xml:space="preserve">                              річний                          звітний період</w:t>
      </w:r>
    </w:p>
    <w:p w:rsidR="005E6794" w:rsidRDefault="005E6794" w:rsidP="005E6794">
      <w:pPr>
        <w:rPr>
          <w:sz w:val="28"/>
          <w:szCs w:val="28"/>
        </w:rPr>
      </w:pPr>
      <w:r>
        <w:rPr>
          <w:sz w:val="28"/>
          <w:szCs w:val="28"/>
        </w:rPr>
        <w:t>- податкові надходження       -           42,4 %                                 91,6%</w:t>
      </w:r>
    </w:p>
    <w:p w:rsidR="005E6794" w:rsidRDefault="005E6794" w:rsidP="005E6794">
      <w:pPr>
        <w:rPr>
          <w:sz w:val="28"/>
          <w:szCs w:val="28"/>
        </w:rPr>
      </w:pPr>
      <w:r>
        <w:rPr>
          <w:sz w:val="28"/>
          <w:szCs w:val="28"/>
        </w:rPr>
        <w:t>- неподаткові надходження   -           48,7 %</w:t>
      </w:r>
      <w:r>
        <w:rPr>
          <w:sz w:val="28"/>
          <w:szCs w:val="28"/>
        </w:rPr>
        <w:tab/>
        <w:t xml:space="preserve">                         96,8 %</w:t>
      </w:r>
    </w:p>
    <w:p w:rsidR="005E6794" w:rsidRDefault="005E6794" w:rsidP="005E6794">
      <w:pPr>
        <w:rPr>
          <w:sz w:val="28"/>
          <w:szCs w:val="28"/>
        </w:rPr>
      </w:pPr>
    </w:p>
    <w:p w:rsidR="005E6794" w:rsidRDefault="005E6794" w:rsidP="005E6794">
      <w:pPr>
        <w:ind w:firstLine="709"/>
        <w:jc w:val="both"/>
        <w:rPr>
          <w:sz w:val="28"/>
          <w:szCs w:val="28"/>
        </w:rPr>
      </w:pPr>
      <w:r>
        <w:rPr>
          <w:sz w:val="28"/>
          <w:szCs w:val="28"/>
        </w:rPr>
        <w:t>Питома вага фактичних податкових надходжень в доходній частині міського бюджету  склала 97,6% або 609 870,553 тис. грн., неподаткових надходжень –  2,4% або 14 939,377 тис. грн.</w:t>
      </w:r>
    </w:p>
    <w:p w:rsidR="005E6794" w:rsidRDefault="005E6794" w:rsidP="005E6794">
      <w:pPr>
        <w:ind w:firstLine="709"/>
        <w:jc w:val="both"/>
        <w:rPr>
          <w:sz w:val="28"/>
          <w:szCs w:val="28"/>
        </w:rPr>
      </w:pPr>
    </w:p>
    <w:p w:rsidR="005E6794" w:rsidRDefault="005E6794" w:rsidP="005E6794">
      <w:pPr>
        <w:tabs>
          <w:tab w:val="left" w:pos="2895"/>
          <w:tab w:val="left" w:pos="5655"/>
          <w:tab w:val="left" w:pos="8460"/>
        </w:tabs>
        <w:ind w:firstLine="709"/>
        <w:jc w:val="both"/>
        <w:rPr>
          <w:sz w:val="28"/>
          <w:szCs w:val="28"/>
        </w:rPr>
      </w:pPr>
      <w:r>
        <w:rPr>
          <w:sz w:val="28"/>
          <w:szCs w:val="28"/>
        </w:rPr>
        <w:t>Основними джерелами доходної частини  загального фонду міського бюджету є чотири податки, питома вага яких складає 96,9% в доходній частині (624 809,930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3012"/>
        <w:gridCol w:w="2924"/>
      </w:tblGrid>
      <w:tr w:rsidR="005E6794" w:rsidTr="005E6794">
        <w:tc>
          <w:tcPr>
            <w:tcW w:w="3919" w:type="dxa"/>
            <w:tcBorders>
              <w:top w:val="single" w:sz="4" w:space="0" w:color="auto"/>
              <w:left w:val="single" w:sz="4" w:space="0" w:color="auto"/>
              <w:bottom w:val="single" w:sz="4" w:space="0" w:color="auto"/>
              <w:right w:val="single" w:sz="4" w:space="0" w:color="auto"/>
            </w:tcBorders>
          </w:tcPr>
          <w:p w:rsidR="005E6794" w:rsidRDefault="005E6794">
            <w:pPr>
              <w:tabs>
                <w:tab w:val="left" w:pos="2895"/>
                <w:tab w:val="left" w:pos="5655"/>
                <w:tab w:val="left" w:pos="8460"/>
              </w:tabs>
              <w:jc w:val="both"/>
              <w:rPr>
                <w:sz w:val="28"/>
                <w:szCs w:val="28"/>
              </w:rPr>
            </w:pPr>
          </w:p>
        </w:tc>
        <w:tc>
          <w:tcPr>
            <w:tcW w:w="3012" w:type="dxa"/>
            <w:tcBorders>
              <w:top w:val="single" w:sz="4" w:space="0" w:color="auto"/>
              <w:left w:val="single" w:sz="4" w:space="0" w:color="auto"/>
              <w:bottom w:val="single" w:sz="4" w:space="0" w:color="auto"/>
              <w:right w:val="single" w:sz="4" w:space="0" w:color="auto"/>
            </w:tcBorders>
            <w:hideMark/>
          </w:tcPr>
          <w:p w:rsidR="005E6794" w:rsidRDefault="005E6794">
            <w:pPr>
              <w:jc w:val="center"/>
              <w:rPr>
                <w:b/>
                <w:sz w:val="28"/>
                <w:szCs w:val="28"/>
              </w:rPr>
            </w:pPr>
            <w:r>
              <w:rPr>
                <w:b/>
                <w:sz w:val="28"/>
                <w:szCs w:val="28"/>
              </w:rPr>
              <w:t>тис. грн.</w:t>
            </w:r>
          </w:p>
        </w:tc>
        <w:tc>
          <w:tcPr>
            <w:tcW w:w="2924" w:type="dxa"/>
            <w:tcBorders>
              <w:top w:val="single" w:sz="4" w:space="0" w:color="auto"/>
              <w:left w:val="single" w:sz="4" w:space="0" w:color="auto"/>
              <w:bottom w:val="single" w:sz="4" w:space="0" w:color="auto"/>
              <w:right w:val="single" w:sz="4" w:space="0" w:color="auto"/>
            </w:tcBorders>
            <w:hideMark/>
          </w:tcPr>
          <w:p w:rsidR="005E6794" w:rsidRDefault="005E6794">
            <w:pPr>
              <w:jc w:val="center"/>
              <w:rPr>
                <w:b/>
                <w:sz w:val="28"/>
                <w:szCs w:val="28"/>
              </w:rPr>
            </w:pPr>
            <w:r>
              <w:rPr>
                <w:b/>
                <w:sz w:val="28"/>
                <w:szCs w:val="28"/>
              </w:rPr>
              <w:t>питома  вага, %</w:t>
            </w:r>
          </w:p>
        </w:tc>
      </w:tr>
      <w:tr w:rsidR="005E6794" w:rsidTr="005E6794">
        <w:tc>
          <w:tcPr>
            <w:tcW w:w="3919" w:type="dxa"/>
            <w:tcBorders>
              <w:top w:val="single" w:sz="4" w:space="0" w:color="auto"/>
              <w:left w:val="single" w:sz="4" w:space="0" w:color="auto"/>
              <w:bottom w:val="single" w:sz="4" w:space="0" w:color="auto"/>
              <w:right w:val="single" w:sz="4" w:space="0" w:color="auto"/>
            </w:tcBorders>
            <w:hideMark/>
          </w:tcPr>
          <w:p w:rsidR="005E6794" w:rsidRDefault="005E6794">
            <w:pPr>
              <w:tabs>
                <w:tab w:val="left" w:pos="2895"/>
                <w:tab w:val="left" w:pos="5655"/>
                <w:tab w:val="left" w:pos="8460"/>
              </w:tabs>
              <w:jc w:val="both"/>
              <w:rPr>
                <w:sz w:val="28"/>
                <w:szCs w:val="28"/>
              </w:rPr>
            </w:pPr>
            <w:r>
              <w:rPr>
                <w:sz w:val="28"/>
                <w:szCs w:val="28"/>
              </w:rPr>
              <w:t xml:space="preserve">податок та збір на доходи фізичних осіб (11010000) </w:t>
            </w:r>
          </w:p>
        </w:tc>
        <w:tc>
          <w:tcPr>
            <w:tcW w:w="3012" w:type="dxa"/>
            <w:tcBorders>
              <w:top w:val="single" w:sz="4" w:space="0" w:color="auto"/>
              <w:left w:val="single" w:sz="4" w:space="0" w:color="auto"/>
              <w:bottom w:val="single" w:sz="4" w:space="0" w:color="auto"/>
              <w:right w:val="single" w:sz="4" w:space="0" w:color="auto"/>
            </w:tcBorders>
            <w:hideMark/>
          </w:tcPr>
          <w:p w:rsidR="005E6794" w:rsidRDefault="005E6794">
            <w:pPr>
              <w:tabs>
                <w:tab w:val="left" w:pos="2895"/>
                <w:tab w:val="left" w:pos="5655"/>
                <w:tab w:val="left" w:pos="8460"/>
              </w:tabs>
              <w:jc w:val="center"/>
              <w:rPr>
                <w:sz w:val="28"/>
                <w:szCs w:val="28"/>
              </w:rPr>
            </w:pPr>
            <w:r>
              <w:rPr>
                <w:sz w:val="28"/>
                <w:szCs w:val="28"/>
              </w:rPr>
              <w:t>427 190,600</w:t>
            </w:r>
          </w:p>
        </w:tc>
        <w:tc>
          <w:tcPr>
            <w:tcW w:w="2924" w:type="dxa"/>
            <w:tcBorders>
              <w:top w:val="single" w:sz="4" w:space="0" w:color="auto"/>
              <w:left w:val="single" w:sz="4" w:space="0" w:color="auto"/>
              <w:bottom w:val="single" w:sz="4" w:space="0" w:color="auto"/>
              <w:right w:val="single" w:sz="4" w:space="0" w:color="auto"/>
            </w:tcBorders>
            <w:hideMark/>
          </w:tcPr>
          <w:p w:rsidR="005E6794" w:rsidRDefault="005E6794">
            <w:pPr>
              <w:tabs>
                <w:tab w:val="left" w:pos="2895"/>
                <w:tab w:val="left" w:pos="5655"/>
                <w:tab w:val="left" w:pos="8460"/>
              </w:tabs>
              <w:jc w:val="center"/>
              <w:rPr>
                <w:sz w:val="28"/>
                <w:szCs w:val="28"/>
              </w:rPr>
            </w:pPr>
            <w:r>
              <w:rPr>
                <w:sz w:val="28"/>
                <w:szCs w:val="28"/>
              </w:rPr>
              <w:t>67,3</w:t>
            </w:r>
          </w:p>
        </w:tc>
      </w:tr>
      <w:tr w:rsidR="005E6794" w:rsidTr="005E6794">
        <w:tc>
          <w:tcPr>
            <w:tcW w:w="3919" w:type="dxa"/>
            <w:tcBorders>
              <w:top w:val="single" w:sz="4" w:space="0" w:color="auto"/>
              <w:left w:val="single" w:sz="4" w:space="0" w:color="auto"/>
              <w:bottom w:val="single" w:sz="4" w:space="0" w:color="auto"/>
              <w:right w:val="single" w:sz="4" w:space="0" w:color="auto"/>
            </w:tcBorders>
            <w:hideMark/>
          </w:tcPr>
          <w:p w:rsidR="005E6794" w:rsidRDefault="005E6794">
            <w:pPr>
              <w:tabs>
                <w:tab w:val="left" w:pos="0"/>
                <w:tab w:val="left" w:pos="8907"/>
              </w:tabs>
              <w:jc w:val="both"/>
              <w:rPr>
                <w:sz w:val="28"/>
                <w:szCs w:val="28"/>
              </w:rPr>
            </w:pPr>
            <w:r>
              <w:rPr>
                <w:sz w:val="28"/>
                <w:szCs w:val="28"/>
              </w:rPr>
              <w:t xml:space="preserve">податок на майно в частині земельного податку (18010500-18010900) </w:t>
            </w:r>
          </w:p>
        </w:tc>
        <w:tc>
          <w:tcPr>
            <w:tcW w:w="3012" w:type="dxa"/>
            <w:tcBorders>
              <w:top w:val="single" w:sz="4" w:space="0" w:color="auto"/>
              <w:left w:val="single" w:sz="4" w:space="0" w:color="auto"/>
              <w:bottom w:val="single" w:sz="4" w:space="0" w:color="auto"/>
              <w:right w:val="single" w:sz="4" w:space="0" w:color="auto"/>
            </w:tcBorders>
            <w:hideMark/>
          </w:tcPr>
          <w:p w:rsidR="005E6794" w:rsidRDefault="005E6794">
            <w:pPr>
              <w:tabs>
                <w:tab w:val="left" w:pos="2895"/>
                <w:tab w:val="left" w:pos="5655"/>
                <w:tab w:val="left" w:pos="8460"/>
              </w:tabs>
              <w:jc w:val="center"/>
              <w:rPr>
                <w:sz w:val="28"/>
                <w:szCs w:val="28"/>
              </w:rPr>
            </w:pPr>
            <w:r>
              <w:rPr>
                <w:sz w:val="28"/>
                <w:szCs w:val="28"/>
              </w:rPr>
              <w:t>79 411,855</w:t>
            </w:r>
          </w:p>
        </w:tc>
        <w:tc>
          <w:tcPr>
            <w:tcW w:w="2924" w:type="dxa"/>
            <w:tcBorders>
              <w:top w:val="single" w:sz="4" w:space="0" w:color="auto"/>
              <w:left w:val="single" w:sz="4" w:space="0" w:color="auto"/>
              <w:bottom w:val="single" w:sz="4" w:space="0" w:color="auto"/>
              <w:right w:val="single" w:sz="4" w:space="0" w:color="auto"/>
            </w:tcBorders>
            <w:hideMark/>
          </w:tcPr>
          <w:p w:rsidR="005E6794" w:rsidRDefault="005E6794">
            <w:pPr>
              <w:tabs>
                <w:tab w:val="left" w:pos="0"/>
                <w:tab w:val="left" w:pos="7230"/>
                <w:tab w:val="left" w:pos="7655"/>
                <w:tab w:val="left" w:pos="8800"/>
              </w:tabs>
              <w:jc w:val="center"/>
              <w:rPr>
                <w:sz w:val="28"/>
                <w:szCs w:val="28"/>
              </w:rPr>
            </w:pPr>
            <w:r>
              <w:rPr>
                <w:sz w:val="28"/>
                <w:szCs w:val="28"/>
              </w:rPr>
              <w:t>12,8</w:t>
            </w:r>
          </w:p>
        </w:tc>
      </w:tr>
      <w:tr w:rsidR="005E6794" w:rsidTr="005E6794">
        <w:tc>
          <w:tcPr>
            <w:tcW w:w="3919" w:type="dxa"/>
            <w:tcBorders>
              <w:top w:val="single" w:sz="4" w:space="0" w:color="auto"/>
              <w:left w:val="single" w:sz="4" w:space="0" w:color="auto"/>
              <w:bottom w:val="single" w:sz="4" w:space="0" w:color="auto"/>
              <w:right w:val="single" w:sz="4" w:space="0" w:color="auto"/>
            </w:tcBorders>
            <w:hideMark/>
          </w:tcPr>
          <w:p w:rsidR="005E6794" w:rsidRDefault="005E6794">
            <w:pPr>
              <w:tabs>
                <w:tab w:val="left" w:pos="2895"/>
                <w:tab w:val="left" w:pos="5655"/>
                <w:tab w:val="left" w:pos="8460"/>
              </w:tabs>
              <w:jc w:val="both"/>
              <w:rPr>
                <w:sz w:val="28"/>
                <w:szCs w:val="28"/>
              </w:rPr>
            </w:pPr>
            <w:r>
              <w:rPr>
                <w:sz w:val="28"/>
                <w:szCs w:val="28"/>
              </w:rPr>
              <w:lastRenderedPageBreak/>
              <w:t>єдиний податок  (18050000)</w:t>
            </w:r>
          </w:p>
        </w:tc>
        <w:tc>
          <w:tcPr>
            <w:tcW w:w="3012" w:type="dxa"/>
            <w:tcBorders>
              <w:top w:val="single" w:sz="4" w:space="0" w:color="auto"/>
              <w:left w:val="single" w:sz="4" w:space="0" w:color="auto"/>
              <w:bottom w:val="single" w:sz="4" w:space="0" w:color="auto"/>
              <w:right w:val="single" w:sz="4" w:space="0" w:color="auto"/>
            </w:tcBorders>
            <w:hideMark/>
          </w:tcPr>
          <w:p w:rsidR="005E6794" w:rsidRDefault="005E6794">
            <w:pPr>
              <w:tabs>
                <w:tab w:val="left" w:pos="2895"/>
                <w:tab w:val="left" w:pos="5655"/>
                <w:tab w:val="left" w:pos="8460"/>
              </w:tabs>
              <w:jc w:val="center"/>
              <w:rPr>
                <w:sz w:val="28"/>
                <w:szCs w:val="28"/>
              </w:rPr>
            </w:pPr>
            <w:r>
              <w:rPr>
                <w:sz w:val="28"/>
                <w:szCs w:val="28"/>
              </w:rPr>
              <w:t>50 298,984</w:t>
            </w:r>
          </w:p>
        </w:tc>
        <w:tc>
          <w:tcPr>
            <w:tcW w:w="2924" w:type="dxa"/>
            <w:tcBorders>
              <w:top w:val="single" w:sz="4" w:space="0" w:color="auto"/>
              <w:left w:val="single" w:sz="4" w:space="0" w:color="auto"/>
              <w:bottom w:val="single" w:sz="4" w:space="0" w:color="auto"/>
              <w:right w:val="single" w:sz="4" w:space="0" w:color="auto"/>
            </w:tcBorders>
            <w:hideMark/>
          </w:tcPr>
          <w:p w:rsidR="005E6794" w:rsidRDefault="005E6794">
            <w:pPr>
              <w:tabs>
                <w:tab w:val="left" w:pos="0"/>
                <w:tab w:val="left" w:pos="8789"/>
                <w:tab w:val="left" w:pos="8931"/>
              </w:tabs>
              <w:jc w:val="center"/>
              <w:rPr>
                <w:sz w:val="28"/>
                <w:szCs w:val="28"/>
              </w:rPr>
            </w:pPr>
            <w:r>
              <w:rPr>
                <w:sz w:val="28"/>
                <w:szCs w:val="28"/>
              </w:rPr>
              <w:t>9,1</w:t>
            </w:r>
          </w:p>
        </w:tc>
      </w:tr>
      <w:tr w:rsidR="005E6794" w:rsidTr="005E6794">
        <w:tc>
          <w:tcPr>
            <w:tcW w:w="3919" w:type="dxa"/>
            <w:tcBorders>
              <w:top w:val="single" w:sz="4" w:space="0" w:color="auto"/>
              <w:left w:val="single" w:sz="4" w:space="0" w:color="auto"/>
              <w:bottom w:val="single" w:sz="4" w:space="0" w:color="auto"/>
              <w:right w:val="single" w:sz="4" w:space="0" w:color="auto"/>
            </w:tcBorders>
            <w:hideMark/>
          </w:tcPr>
          <w:p w:rsidR="005E6794" w:rsidRDefault="005E6794">
            <w:pPr>
              <w:tabs>
                <w:tab w:val="left" w:pos="0"/>
                <w:tab w:val="left" w:pos="8931"/>
              </w:tabs>
              <w:jc w:val="both"/>
              <w:rPr>
                <w:sz w:val="28"/>
                <w:szCs w:val="28"/>
              </w:rPr>
            </w:pPr>
            <w:r>
              <w:rPr>
                <w:sz w:val="28"/>
                <w:szCs w:val="28"/>
              </w:rPr>
              <w:t xml:space="preserve">акцизний податок  (14040000; 14021900; 14031900) </w:t>
            </w:r>
          </w:p>
        </w:tc>
        <w:tc>
          <w:tcPr>
            <w:tcW w:w="3012" w:type="dxa"/>
            <w:tcBorders>
              <w:top w:val="single" w:sz="4" w:space="0" w:color="auto"/>
              <w:left w:val="single" w:sz="4" w:space="0" w:color="auto"/>
              <w:bottom w:val="single" w:sz="4" w:space="0" w:color="auto"/>
              <w:right w:val="single" w:sz="4" w:space="0" w:color="auto"/>
            </w:tcBorders>
            <w:hideMark/>
          </w:tcPr>
          <w:p w:rsidR="005E6794" w:rsidRDefault="005E6794">
            <w:pPr>
              <w:tabs>
                <w:tab w:val="left" w:pos="2895"/>
                <w:tab w:val="left" w:pos="5655"/>
                <w:tab w:val="left" w:pos="8460"/>
              </w:tabs>
              <w:jc w:val="center"/>
              <w:rPr>
                <w:sz w:val="28"/>
                <w:szCs w:val="28"/>
              </w:rPr>
            </w:pPr>
            <w:r>
              <w:rPr>
                <w:sz w:val="28"/>
                <w:szCs w:val="28"/>
              </w:rPr>
              <w:t>48 623,077</w:t>
            </w:r>
          </w:p>
        </w:tc>
        <w:tc>
          <w:tcPr>
            <w:tcW w:w="2924" w:type="dxa"/>
            <w:tcBorders>
              <w:top w:val="single" w:sz="4" w:space="0" w:color="auto"/>
              <w:left w:val="single" w:sz="4" w:space="0" w:color="auto"/>
              <w:bottom w:val="single" w:sz="4" w:space="0" w:color="auto"/>
              <w:right w:val="single" w:sz="4" w:space="0" w:color="auto"/>
            </w:tcBorders>
            <w:hideMark/>
          </w:tcPr>
          <w:p w:rsidR="005E6794" w:rsidRDefault="005E6794">
            <w:pPr>
              <w:tabs>
                <w:tab w:val="left" w:pos="0"/>
                <w:tab w:val="left" w:pos="8931"/>
              </w:tabs>
              <w:jc w:val="center"/>
              <w:rPr>
                <w:sz w:val="28"/>
                <w:szCs w:val="28"/>
              </w:rPr>
            </w:pPr>
            <w:r>
              <w:rPr>
                <w:sz w:val="28"/>
                <w:szCs w:val="28"/>
              </w:rPr>
              <w:t>7,7</w:t>
            </w:r>
          </w:p>
        </w:tc>
      </w:tr>
      <w:tr w:rsidR="005E6794" w:rsidTr="005E6794">
        <w:tc>
          <w:tcPr>
            <w:tcW w:w="3919" w:type="dxa"/>
            <w:tcBorders>
              <w:top w:val="single" w:sz="4" w:space="0" w:color="auto"/>
              <w:left w:val="single" w:sz="4" w:space="0" w:color="auto"/>
              <w:bottom w:val="single" w:sz="4" w:space="0" w:color="auto"/>
              <w:right w:val="single" w:sz="4" w:space="0" w:color="auto"/>
            </w:tcBorders>
            <w:hideMark/>
          </w:tcPr>
          <w:p w:rsidR="005E6794" w:rsidRDefault="005E6794">
            <w:pPr>
              <w:tabs>
                <w:tab w:val="left" w:pos="0"/>
                <w:tab w:val="left" w:pos="8931"/>
              </w:tabs>
              <w:jc w:val="both"/>
              <w:rPr>
                <w:sz w:val="28"/>
                <w:szCs w:val="28"/>
              </w:rPr>
            </w:pPr>
            <w:r>
              <w:rPr>
                <w:b/>
                <w:bCs/>
                <w:iCs/>
                <w:sz w:val="28"/>
                <w:szCs w:val="28"/>
              </w:rPr>
              <w:t xml:space="preserve">Разом  </w:t>
            </w:r>
          </w:p>
        </w:tc>
        <w:tc>
          <w:tcPr>
            <w:tcW w:w="3012" w:type="dxa"/>
            <w:tcBorders>
              <w:top w:val="single" w:sz="4" w:space="0" w:color="auto"/>
              <w:left w:val="single" w:sz="4" w:space="0" w:color="auto"/>
              <w:bottom w:val="single" w:sz="4" w:space="0" w:color="auto"/>
              <w:right w:val="single" w:sz="4" w:space="0" w:color="auto"/>
            </w:tcBorders>
            <w:hideMark/>
          </w:tcPr>
          <w:p w:rsidR="005E6794" w:rsidRDefault="005E6794">
            <w:pPr>
              <w:tabs>
                <w:tab w:val="left" w:pos="2895"/>
                <w:tab w:val="left" w:pos="5655"/>
                <w:tab w:val="left" w:pos="8460"/>
              </w:tabs>
              <w:jc w:val="center"/>
              <w:rPr>
                <w:sz w:val="28"/>
                <w:szCs w:val="28"/>
              </w:rPr>
            </w:pPr>
            <w:r>
              <w:rPr>
                <w:b/>
                <w:bCs/>
                <w:iCs/>
                <w:sz w:val="28"/>
                <w:szCs w:val="28"/>
              </w:rPr>
              <w:t>605 524,516</w:t>
            </w:r>
          </w:p>
        </w:tc>
        <w:tc>
          <w:tcPr>
            <w:tcW w:w="2924" w:type="dxa"/>
            <w:tcBorders>
              <w:top w:val="single" w:sz="4" w:space="0" w:color="auto"/>
              <w:left w:val="single" w:sz="4" w:space="0" w:color="auto"/>
              <w:bottom w:val="single" w:sz="4" w:space="0" w:color="auto"/>
              <w:right w:val="single" w:sz="4" w:space="0" w:color="auto"/>
            </w:tcBorders>
            <w:hideMark/>
          </w:tcPr>
          <w:p w:rsidR="005E6794" w:rsidRDefault="005E6794">
            <w:pPr>
              <w:tabs>
                <w:tab w:val="left" w:pos="0"/>
                <w:tab w:val="left" w:pos="8931"/>
              </w:tabs>
              <w:jc w:val="center"/>
              <w:rPr>
                <w:sz w:val="28"/>
                <w:szCs w:val="28"/>
              </w:rPr>
            </w:pPr>
            <w:r>
              <w:rPr>
                <w:b/>
                <w:bCs/>
                <w:iCs/>
                <w:sz w:val="28"/>
                <w:szCs w:val="28"/>
              </w:rPr>
              <w:t>96,9</w:t>
            </w:r>
          </w:p>
        </w:tc>
      </w:tr>
    </w:tbl>
    <w:p w:rsidR="005E6794" w:rsidRDefault="005E6794" w:rsidP="005E6794">
      <w:pPr>
        <w:ind w:firstLine="709"/>
        <w:jc w:val="both"/>
        <w:rPr>
          <w:sz w:val="28"/>
          <w:szCs w:val="28"/>
        </w:rPr>
      </w:pPr>
    </w:p>
    <w:p w:rsidR="005E6794" w:rsidRDefault="005E6794" w:rsidP="005E6794">
      <w:pPr>
        <w:ind w:firstLine="709"/>
        <w:jc w:val="both"/>
        <w:rPr>
          <w:rFonts w:eastAsia="Arial11" w:cs="Times New Roman1"/>
          <w:sz w:val="28"/>
          <w:szCs w:val="28"/>
          <w:lang w:bidi="hi-IN"/>
        </w:rPr>
      </w:pPr>
      <w:r>
        <w:rPr>
          <w:rFonts w:eastAsia="Arial11" w:cs="Times New Roman1"/>
          <w:sz w:val="28"/>
          <w:szCs w:val="28"/>
          <w:lang w:bidi="hi-IN"/>
        </w:rPr>
        <w:t>Відповідно до ст.78 Бюджетного кодексу України фінансові органи здійснюють прогнозування та аналіз доходів відповідного бюджету за участю органів, що контролюють справляння надходжень до бюджету.</w:t>
      </w:r>
    </w:p>
    <w:p w:rsidR="005E6794" w:rsidRDefault="005E6794" w:rsidP="005E6794">
      <w:pPr>
        <w:autoSpaceDE w:val="0"/>
        <w:autoSpaceDN w:val="0"/>
        <w:adjustRightInd w:val="0"/>
        <w:ind w:firstLine="720"/>
        <w:jc w:val="both"/>
        <w:rPr>
          <w:rFonts w:eastAsia="Arial11" w:cs="Times New Roman1"/>
          <w:sz w:val="28"/>
          <w:szCs w:val="28"/>
          <w:lang w:bidi="hi-IN"/>
        </w:rPr>
      </w:pPr>
    </w:p>
    <w:p w:rsidR="005E6794" w:rsidRDefault="005E6794" w:rsidP="005E6794">
      <w:pPr>
        <w:autoSpaceDE w:val="0"/>
        <w:autoSpaceDN w:val="0"/>
        <w:adjustRightInd w:val="0"/>
        <w:ind w:firstLine="720"/>
        <w:jc w:val="both"/>
        <w:rPr>
          <w:rFonts w:eastAsia="Arial11" w:cs="Times New Roman1"/>
          <w:sz w:val="28"/>
          <w:szCs w:val="28"/>
          <w:lang w:bidi="hi-IN"/>
        </w:rPr>
      </w:pPr>
      <w:r>
        <w:rPr>
          <w:rFonts w:eastAsia="Arial11" w:cs="Times New Roman1"/>
          <w:sz w:val="28"/>
          <w:szCs w:val="28"/>
          <w:lang w:bidi="hi-IN"/>
        </w:rPr>
        <w:t>П</w:t>
      </w:r>
      <w:r>
        <w:rPr>
          <w:sz w:val="28"/>
          <w:szCs w:val="28"/>
        </w:rPr>
        <w:t xml:space="preserve">ередумовою і економічними орієнтирами для формування бюджетної політики на 2018 рік були прогнози основних </w:t>
      </w:r>
      <w:r>
        <w:rPr>
          <w:rFonts w:eastAsia="Arial11" w:cs="Times New Roman1"/>
          <w:sz w:val="28"/>
          <w:szCs w:val="28"/>
          <w:lang w:bidi="hi-IN"/>
        </w:rPr>
        <w:t xml:space="preserve">показників економічного і соціального розвитку міста, які передбачені </w:t>
      </w:r>
      <w:r>
        <w:rPr>
          <w:sz w:val="28"/>
          <w:szCs w:val="28"/>
        </w:rPr>
        <w:t>Програмою</w:t>
      </w:r>
      <w:r>
        <w:rPr>
          <w:b/>
          <w:sz w:val="28"/>
          <w:szCs w:val="28"/>
        </w:rPr>
        <w:t xml:space="preserve"> </w:t>
      </w:r>
      <w:r>
        <w:rPr>
          <w:sz w:val="28"/>
          <w:szCs w:val="28"/>
        </w:rPr>
        <w:t>економічного і соціального розвитку міста Кременчука на 2018 рік.</w:t>
      </w:r>
    </w:p>
    <w:p w:rsidR="005E6794" w:rsidRDefault="005E6794" w:rsidP="005E6794">
      <w:pPr>
        <w:autoSpaceDE w:val="0"/>
        <w:autoSpaceDN w:val="0"/>
        <w:adjustRightInd w:val="0"/>
        <w:ind w:firstLine="709"/>
        <w:jc w:val="both"/>
        <w:rPr>
          <w:kern w:val="2"/>
          <w:sz w:val="28"/>
        </w:rPr>
      </w:pPr>
    </w:p>
    <w:p w:rsidR="005E6794" w:rsidRDefault="005E6794" w:rsidP="005E6794">
      <w:pPr>
        <w:autoSpaceDE w:val="0"/>
        <w:autoSpaceDN w:val="0"/>
        <w:adjustRightInd w:val="0"/>
        <w:ind w:firstLine="709"/>
        <w:jc w:val="both"/>
        <w:rPr>
          <w:kern w:val="2"/>
          <w:sz w:val="28"/>
        </w:rPr>
      </w:pPr>
      <w:r>
        <w:rPr>
          <w:kern w:val="2"/>
          <w:sz w:val="28"/>
        </w:rPr>
        <w:t xml:space="preserve">Процес формування міського бюджету на 2018 рік було розпочато в листопаді місяці 2017 року, оскільки його необхідно своєчасно оприлюднити та відповідно до Бюджетного кодексу України затвердити до 25 грудня. Для розрахунку джерел доходів  за основу взяті фактичні надходження за 10 місяців та очікувані показники за 2017 рік, а також динаміка надходжень за попередні два роки. </w:t>
      </w:r>
    </w:p>
    <w:p w:rsidR="005E6794" w:rsidRDefault="005E6794" w:rsidP="005E6794">
      <w:pPr>
        <w:autoSpaceDE w:val="0"/>
        <w:autoSpaceDN w:val="0"/>
        <w:adjustRightInd w:val="0"/>
        <w:ind w:firstLine="709"/>
        <w:jc w:val="both"/>
        <w:rPr>
          <w:rFonts w:eastAsia="Arial11" w:cs="Times New Roman1"/>
          <w:kern w:val="2"/>
          <w:sz w:val="28"/>
          <w:szCs w:val="28"/>
          <w:lang w:bidi="hi-IN"/>
        </w:rPr>
      </w:pPr>
      <w:r>
        <w:rPr>
          <w:kern w:val="2"/>
          <w:sz w:val="28"/>
        </w:rPr>
        <w:t>Слід зазначити, що на час формування бюджету не були прийняті   зміни до</w:t>
      </w:r>
      <w:r>
        <w:rPr>
          <w:kern w:val="2"/>
        </w:rPr>
        <w:t xml:space="preserve"> </w:t>
      </w:r>
      <w:r>
        <w:rPr>
          <w:kern w:val="2"/>
          <w:sz w:val="28"/>
        </w:rPr>
        <w:t xml:space="preserve">податкового та бюджетного законодавства, </w:t>
      </w:r>
      <w:r>
        <w:rPr>
          <w:rFonts w:eastAsia="Arial11" w:cs="Times New Roman1"/>
          <w:kern w:val="2"/>
          <w:sz w:val="28"/>
          <w:szCs w:val="28"/>
          <w:lang w:bidi="hi-IN"/>
        </w:rPr>
        <w:t>постійна зміна якого,  та ще й з порушенням термінів внесення таких змін, не дає змоги проводити якісний аналіз надходження податків, зборів та інших платежів до бюджету,  враховувати динаміку надходжень. Це значно ускладнює розрахунок прогнозних показників.</w:t>
      </w:r>
    </w:p>
    <w:p w:rsidR="005E6794" w:rsidRDefault="005E6794" w:rsidP="005E6794">
      <w:pPr>
        <w:autoSpaceDE w:val="0"/>
        <w:autoSpaceDN w:val="0"/>
        <w:adjustRightInd w:val="0"/>
        <w:ind w:firstLine="709"/>
        <w:jc w:val="both"/>
        <w:rPr>
          <w:rFonts w:eastAsia="Arial11" w:cs="Times New Roman1"/>
          <w:kern w:val="2"/>
          <w:sz w:val="28"/>
          <w:szCs w:val="28"/>
          <w:lang w:bidi="hi-IN"/>
        </w:rPr>
      </w:pPr>
    </w:p>
    <w:p w:rsidR="005E6794" w:rsidRDefault="005E6794" w:rsidP="005E6794">
      <w:pPr>
        <w:ind w:firstLine="709"/>
        <w:jc w:val="both"/>
        <w:rPr>
          <w:sz w:val="28"/>
          <w:szCs w:val="28"/>
        </w:rPr>
      </w:pPr>
      <w:r>
        <w:rPr>
          <w:sz w:val="28"/>
          <w:szCs w:val="28"/>
        </w:rPr>
        <w:t xml:space="preserve">За І півріччя </w:t>
      </w:r>
      <w:proofErr w:type="spellStart"/>
      <w:r>
        <w:rPr>
          <w:sz w:val="28"/>
          <w:szCs w:val="28"/>
        </w:rPr>
        <w:t>п.р</w:t>
      </w:r>
      <w:proofErr w:type="spellEnd"/>
      <w:r>
        <w:rPr>
          <w:sz w:val="28"/>
          <w:szCs w:val="28"/>
        </w:rPr>
        <w:t>. не виконано планові показники доходної частини  міського бюджету по наступних джерелах:</w:t>
      </w:r>
    </w:p>
    <w:p w:rsidR="005E6794" w:rsidRDefault="005E6794" w:rsidP="005E6794">
      <w:pPr>
        <w:numPr>
          <w:ilvl w:val="0"/>
          <w:numId w:val="4"/>
        </w:numPr>
        <w:tabs>
          <w:tab w:val="left" w:pos="993"/>
        </w:tabs>
        <w:autoSpaceDE w:val="0"/>
        <w:autoSpaceDN w:val="0"/>
        <w:adjustRightInd w:val="0"/>
        <w:spacing w:after="120"/>
        <w:ind w:left="0" w:firstLine="709"/>
        <w:contextualSpacing/>
        <w:jc w:val="both"/>
        <w:rPr>
          <w:sz w:val="28"/>
          <w:szCs w:val="28"/>
          <w:lang w:eastAsia="zh-CN"/>
        </w:rPr>
      </w:pPr>
      <w:r>
        <w:rPr>
          <w:sz w:val="28"/>
          <w:szCs w:val="28"/>
        </w:rPr>
        <w:t>податку на доходи фізичних осіб, при плані 466 355,400 тис. грн. фактично надійшло 427 190,600 тис. грн. або 91,6% /-/ 39 164,800 тис. грн. та до річного плану  виконання склало 41,7%.</w:t>
      </w:r>
      <w:r>
        <w:rPr>
          <w:rFonts w:ascii="Times New Roman1" w:eastAsia="Arial11" w:hAnsi="Times New Roman1" w:cs="Times New Roman1"/>
          <w:sz w:val="28"/>
          <w:szCs w:val="28"/>
          <w:lang w:eastAsia="zh-CN" w:bidi="hi-IN"/>
        </w:rPr>
        <w:t xml:space="preserve"> При прогнозуванні надходжень ПДФО до міського бюджету м. Кременчука на 2018 рік було враховано </w:t>
      </w:r>
      <w:r>
        <w:rPr>
          <w:rFonts w:eastAsia="Arial11" w:cs="Times New Roman1"/>
          <w:sz w:val="28"/>
          <w:szCs w:val="28"/>
          <w:lang w:eastAsia="zh-CN" w:bidi="hi-IN"/>
        </w:rPr>
        <w:t>збільшення розміру мінімальної заробітної плати на рівні 3 723 грн. проти 3 200 грн. в            2017 році (16,3%), п</w:t>
      </w:r>
      <w:r>
        <w:rPr>
          <w:bCs/>
          <w:sz w:val="28"/>
          <w:szCs w:val="28"/>
        </w:rPr>
        <w:t xml:space="preserve">ідвищення з 1 січня 2018 року  </w:t>
      </w:r>
      <w:r>
        <w:rPr>
          <w:rFonts w:eastAsia="Calibri"/>
          <w:sz w:val="28"/>
          <w:szCs w:val="22"/>
        </w:rPr>
        <w:t>посадового окладу працівника І тарифного розряду Єдиної тарифної сітки</w:t>
      </w:r>
      <w:r>
        <w:rPr>
          <w:rFonts w:eastAsia="Arial11"/>
          <w:sz w:val="28"/>
          <w:szCs w:val="28"/>
          <w:lang w:eastAsia="zh-CN" w:bidi="hi-IN"/>
        </w:rPr>
        <w:t xml:space="preserve">. </w:t>
      </w:r>
    </w:p>
    <w:p w:rsidR="005E6794" w:rsidRDefault="005E6794" w:rsidP="005E6794">
      <w:pPr>
        <w:autoSpaceDE w:val="0"/>
        <w:autoSpaceDN w:val="0"/>
        <w:adjustRightInd w:val="0"/>
        <w:ind w:firstLine="567"/>
        <w:jc w:val="both"/>
        <w:rPr>
          <w:rFonts w:eastAsia="Arial11"/>
          <w:sz w:val="28"/>
          <w:szCs w:val="28"/>
          <w:lang w:eastAsia="zh-CN" w:bidi="hi-IN"/>
        </w:rPr>
      </w:pPr>
      <w:r>
        <w:rPr>
          <w:rFonts w:eastAsia="Arial11"/>
          <w:sz w:val="28"/>
          <w:szCs w:val="28"/>
          <w:lang w:eastAsia="zh-CN" w:bidi="hi-IN"/>
        </w:rPr>
        <w:t xml:space="preserve">Також, враховано економічні показники діяльності великих платників податків у 2017 році, їх </w:t>
      </w:r>
      <w:r>
        <w:rPr>
          <w:sz w:val="28"/>
          <w:szCs w:val="28"/>
          <w:lang w:eastAsia="zh-CN"/>
        </w:rPr>
        <w:t>стабільну роботу у 2018 році, збільшення обсягів виробництва на більшості з них та внаслідок чого збільшення чисельності працюючих, зростання заробітних плат, а відповідно збільшення фондів оплати праці та надходжень ПДФО до міського бюджету</w:t>
      </w:r>
      <w:r>
        <w:rPr>
          <w:rFonts w:eastAsia="Arial11"/>
          <w:sz w:val="28"/>
          <w:szCs w:val="28"/>
          <w:lang w:eastAsia="zh-CN" w:bidi="hi-IN"/>
        </w:rPr>
        <w:t>.</w:t>
      </w:r>
    </w:p>
    <w:p w:rsidR="005E6794" w:rsidRDefault="005E6794" w:rsidP="005E6794">
      <w:pPr>
        <w:autoSpaceDE w:val="0"/>
        <w:autoSpaceDN w:val="0"/>
        <w:adjustRightInd w:val="0"/>
        <w:ind w:firstLine="567"/>
        <w:jc w:val="both"/>
        <w:rPr>
          <w:rFonts w:eastAsia="Arial11"/>
          <w:sz w:val="28"/>
          <w:szCs w:val="28"/>
          <w:lang w:eastAsia="zh-CN" w:bidi="hi-IN"/>
        </w:rPr>
      </w:pPr>
      <w:r>
        <w:rPr>
          <w:rFonts w:eastAsia="Arial11"/>
          <w:sz w:val="28"/>
          <w:szCs w:val="28"/>
          <w:lang w:eastAsia="zh-CN" w:bidi="hi-IN"/>
        </w:rPr>
        <w:t>Але слід зазначити, що маючи значні замовлення, підприємства не можуть</w:t>
      </w:r>
      <w:r>
        <w:rPr>
          <w:sz w:val="28"/>
          <w:szCs w:val="28"/>
        </w:rPr>
        <w:t xml:space="preserve"> знайти необхідну кількість працівників виробничих професій, які в пошуках кращої оплати праці звільняються з підприємств та  виїжджають за кордон. Така ситуація позбавляє міський бюджет додаткових надходжень по </w:t>
      </w:r>
      <w:proofErr w:type="spellStart"/>
      <w:r>
        <w:rPr>
          <w:sz w:val="28"/>
          <w:szCs w:val="28"/>
        </w:rPr>
        <w:t>пдфо</w:t>
      </w:r>
      <w:proofErr w:type="spellEnd"/>
      <w:r>
        <w:rPr>
          <w:sz w:val="28"/>
          <w:szCs w:val="28"/>
        </w:rPr>
        <w:t>.</w:t>
      </w:r>
      <w:r>
        <w:t xml:space="preserve"> </w:t>
      </w:r>
    </w:p>
    <w:p w:rsidR="005E6794" w:rsidRDefault="005E6794" w:rsidP="005E6794">
      <w:pPr>
        <w:autoSpaceDE w:val="0"/>
        <w:autoSpaceDN w:val="0"/>
        <w:adjustRightInd w:val="0"/>
        <w:ind w:firstLine="567"/>
        <w:jc w:val="both"/>
        <w:rPr>
          <w:rFonts w:eastAsia="Arial11"/>
          <w:sz w:val="28"/>
          <w:szCs w:val="28"/>
          <w:lang w:eastAsia="zh-CN" w:bidi="hi-IN"/>
        </w:rPr>
      </w:pPr>
      <w:r>
        <w:rPr>
          <w:rFonts w:eastAsia="Arial11"/>
          <w:sz w:val="28"/>
          <w:szCs w:val="28"/>
          <w:lang w:eastAsia="zh-CN" w:bidi="hi-IN"/>
        </w:rPr>
        <w:lastRenderedPageBreak/>
        <w:t>Крім того, було враховано вжиття комплексу заходів з погашення заборгованості із виплати заробітної плати та активізація роботи щодо легалізації виплати заробітної плати, шляхом здійснення контролю за діяльністю суб’єктів господарської діяльності, які приховують отримані доходи, виплачують заробітну плату з порушенням вимог податкового законодавства.</w:t>
      </w:r>
    </w:p>
    <w:p w:rsidR="005E6794" w:rsidRDefault="005E6794" w:rsidP="005E6794">
      <w:pPr>
        <w:ind w:left="-60" w:firstLine="769"/>
        <w:jc w:val="both"/>
        <w:rPr>
          <w:sz w:val="28"/>
          <w:szCs w:val="28"/>
          <w:lang w:eastAsia="ru-RU"/>
        </w:rPr>
      </w:pPr>
      <w:r>
        <w:rPr>
          <w:sz w:val="28"/>
          <w:szCs w:val="28"/>
        </w:rPr>
        <w:t>Зростання надходжень ПДФО  в 2016 році порівняно з 2015 роком склало -  42,6%, в 2017 році зростання до 2016 року  – 44,7%, на 2018 рік передбачено зростання - на 50,2%.</w:t>
      </w:r>
      <w:r>
        <w:t xml:space="preserve"> </w:t>
      </w:r>
      <w:r>
        <w:rPr>
          <w:sz w:val="28"/>
          <w:szCs w:val="28"/>
        </w:rPr>
        <w:t xml:space="preserve">Станом на 01.07.2018 в  порівнянні з </w:t>
      </w:r>
      <w:proofErr w:type="spellStart"/>
      <w:r>
        <w:rPr>
          <w:sz w:val="28"/>
          <w:szCs w:val="28"/>
        </w:rPr>
        <w:t>в.п.м.р</w:t>
      </w:r>
      <w:proofErr w:type="spellEnd"/>
      <w:r>
        <w:rPr>
          <w:sz w:val="28"/>
          <w:szCs w:val="28"/>
        </w:rPr>
        <w:t xml:space="preserve">. надходження по </w:t>
      </w:r>
      <w:proofErr w:type="spellStart"/>
      <w:r>
        <w:rPr>
          <w:sz w:val="28"/>
          <w:szCs w:val="28"/>
        </w:rPr>
        <w:t>пдфо</w:t>
      </w:r>
      <w:proofErr w:type="spellEnd"/>
      <w:r>
        <w:rPr>
          <w:sz w:val="28"/>
          <w:szCs w:val="28"/>
        </w:rPr>
        <w:t xml:space="preserve"> зросли на 37,0% або /+/ 115 281,479 тис. грн.;</w:t>
      </w:r>
    </w:p>
    <w:p w:rsidR="005E6794" w:rsidRDefault="005E6794" w:rsidP="005E6794">
      <w:pPr>
        <w:ind w:left="-60" w:firstLine="769"/>
        <w:jc w:val="both"/>
        <w:rPr>
          <w:sz w:val="28"/>
          <w:szCs w:val="28"/>
        </w:rPr>
      </w:pPr>
    </w:p>
    <w:p w:rsidR="005E6794" w:rsidRDefault="005E6794" w:rsidP="005E6794">
      <w:pPr>
        <w:numPr>
          <w:ilvl w:val="0"/>
          <w:numId w:val="4"/>
        </w:numPr>
        <w:tabs>
          <w:tab w:val="left" w:pos="993"/>
        </w:tabs>
        <w:ind w:left="0" w:firstLine="709"/>
        <w:contextualSpacing/>
        <w:jc w:val="both"/>
        <w:rPr>
          <w:spacing w:val="1"/>
          <w:sz w:val="28"/>
          <w:szCs w:val="28"/>
        </w:rPr>
      </w:pPr>
      <w:r>
        <w:rPr>
          <w:spacing w:val="1"/>
          <w:sz w:val="28"/>
          <w:szCs w:val="28"/>
        </w:rPr>
        <w:t>акцизному податку – 82,6%, при плані 58 850,000 тис. грн. фактично  отримано  48 623,077 тис. грн. /-/ 10 226,923 тис. грн., виконання до річного плану склало 40,7%.</w:t>
      </w:r>
      <w:r>
        <w:t xml:space="preserve"> </w:t>
      </w:r>
      <w:r>
        <w:rPr>
          <w:spacing w:val="1"/>
          <w:sz w:val="28"/>
          <w:szCs w:val="28"/>
        </w:rPr>
        <w:t>Реально запланувати  акцизний податок з виробленого та ввезеного пального досить складно, оскільки він обраховується Мінфіном на півріччя, виходячи з фактичного обсягу реалізованого суб'єктами господарювання роздрібної торгівлі пального за перше, а потім за друге півріччя 2017 року та визначається норматив зарахування по кожному місцевому бюджету окремо. Крім того, даний податок не контролюється КОДПІ ГУ ДФС у Полтавській області.</w:t>
      </w:r>
    </w:p>
    <w:p w:rsidR="005E6794" w:rsidRDefault="005E6794" w:rsidP="005E6794">
      <w:pPr>
        <w:ind w:firstLine="709"/>
        <w:jc w:val="both"/>
        <w:rPr>
          <w:snapToGrid w:val="0"/>
          <w:sz w:val="28"/>
          <w:szCs w:val="28"/>
        </w:rPr>
      </w:pPr>
      <w:r>
        <w:rPr>
          <w:spacing w:val="1"/>
          <w:sz w:val="28"/>
          <w:szCs w:val="28"/>
        </w:rPr>
        <w:t xml:space="preserve">Для обрахунку прогнозних надходжень акцизного податку на 2018 рік, взяті за основу фактичні надходження за 10 місяців 2017 року та очікувані надходження в 2017 році  з незначним зростанням. Але в підсумку, за                 І півріччя 2018 року порівняно з </w:t>
      </w:r>
      <w:proofErr w:type="spellStart"/>
      <w:r>
        <w:rPr>
          <w:spacing w:val="1"/>
          <w:sz w:val="28"/>
          <w:szCs w:val="28"/>
        </w:rPr>
        <w:t>в.п.м.р</w:t>
      </w:r>
      <w:proofErr w:type="spellEnd"/>
      <w:r>
        <w:rPr>
          <w:spacing w:val="1"/>
          <w:sz w:val="28"/>
          <w:szCs w:val="28"/>
        </w:rPr>
        <w:t>.</w:t>
      </w:r>
      <w:r>
        <w:rPr>
          <w:snapToGrid w:val="0"/>
          <w:sz w:val="28"/>
          <w:szCs w:val="28"/>
        </w:rPr>
        <w:t xml:space="preserve"> відбулося зниження надходжень  на 6,3%</w:t>
      </w:r>
      <w:r>
        <w:rPr>
          <w:spacing w:val="1"/>
          <w:sz w:val="28"/>
          <w:szCs w:val="28"/>
        </w:rPr>
        <w:t xml:space="preserve"> </w:t>
      </w:r>
      <w:r>
        <w:rPr>
          <w:snapToGrid w:val="0"/>
          <w:sz w:val="28"/>
          <w:szCs w:val="28"/>
        </w:rPr>
        <w:t>або /-/ 3 258,211 тис. грн.;</w:t>
      </w:r>
    </w:p>
    <w:p w:rsidR="005E6794" w:rsidRDefault="005E6794" w:rsidP="005E6794">
      <w:pPr>
        <w:ind w:firstLine="709"/>
        <w:jc w:val="both"/>
        <w:rPr>
          <w:spacing w:val="1"/>
          <w:sz w:val="28"/>
          <w:szCs w:val="28"/>
        </w:rPr>
      </w:pPr>
    </w:p>
    <w:p w:rsidR="005E6794" w:rsidRDefault="005E6794" w:rsidP="005E6794">
      <w:pPr>
        <w:numPr>
          <w:ilvl w:val="0"/>
          <w:numId w:val="4"/>
        </w:numPr>
        <w:tabs>
          <w:tab w:val="left" w:pos="993"/>
        </w:tabs>
        <w:autoSpaceDE w:val="0"/>
        <w:autoSpaceDN w:val="0"/>
        <w:spacing w:before="120"/>
        <w:ind w:left="0" w:firstLine="709"/>
        <w:contextualSpacing/>
        <w:jc w:val="both"/>
        <w:rPr>
          <w:rFonts w:eastAsia="Arial11" w:cs="Times New Roman1"/>
          <w:bCs/>
          <w:sz w:val="28"/>
          <w:szCs w:val="28"/>
          <w:lang w:bidi="hi-IN"/>
        </w:rPr>
      </w:pPr>
      <w:r>
        <w:rPr>
          <w:sz w:val="28"/>
          <w:szCs w:val="28"/>
        </w:rPr>
        <w:t>податку на майно в частині  земельного податку, при плані                     86 927,800 тис. грн. фактично надійшло 79 411,855 тис. грн. або 91,4%                       /-/ 7 515,945 тис. грн., виконання до річного плану склало – 43,8%.</w:t>
      </w:r>
      <w:r>
        <w:rPr>
          <w:bCs/>
          <w:sz w:val="28"/>
          <w:szCs w:val="28"/>
        </w:rPr>
        <w:t xml:space="preserve"> За 2016 рік фактично надійшло - 138 841,346 тис. грн., в 2017 році – 163 579,0 тис. грн., ріст – 17,8%, зростання надходжень пов’язане з індексацією</w:t>
      </w:r>
      <w:r>
        <w:rPr>
          <w:rFonts w:eastAsia="Arial11" w:cs="Times New Roman1"/>
          <w:bCs/>
          <w:sz w:val="28"/>
          <w:szCs w:val="28"/>
          <w:lang w:bidi="hi-IN"/>
        </w:rPr>
        <w:t xml:space="preserve"> </w:t>
      </w:r>
      <w:r>
        <w:rPr>
          <w:bCs/>
          <w:sz w:val="28"/>
          <w:szCs w:val="28"/>
        </w:rPr>
        <w:t xml:space="preserve">нормативної грошової оцінки земель  за 2015 рік </w:t>
      </w:r>
      <w:r>
        <w:rPr>
          <w:bCs/>
          <w:sz w:val="28"/>
          <w:szCs w:val="28"/>
          <w:bdr w:val="none" w:sz="0" w:space="0" w:color="auto" w:frame="1"/>
        </w:rPr>
        <w:t>та 2016 рік.</w:t>
      </w:r>
    </w:p>
    <w:p w:rsidR="005E6794" w:rsidRDefault="005E6794" w:rsidP="005E6794">
      <w:pPr>
        <w:ind w:firstLine="709"/>
        <w:jc w:val="both"/>
        <w:rPr>
          <w:sz w:val="28"/>
          <w:szCs w:val="28"/>
        </w:rPr>
      </w:pPr>
      <w:r>
        <w:rPr>
          <w:sz w:val="28"/>
          <w:szCs w:val="28"/>
        </w:rPr>
        <w:t xml:space="preserve">Враховуючи </w:t>
      </w:r>
      <w:r>
        <w:rPr>
          <w:snapToGrid w:val="0"/>
          <w:sz w:val="28"/>
          <w:szCs w:val="28"/>
        </w:rPr>
        <w:t>продовження на 2018 рік застосування понижуючого коефіцієнту 0,60</w:t>
      </w:r>
      <w:r>
        <w:rPr>
          <w:sz w:val="28"/>
          <w:szCs w:val="28"/>
        </w:rPr>
        <w:t xml:space="preserve"> до затвердженої нормативної грошової оцінки землі, о</w:t>
      </w:r>
      <w:r>
        <w:rPr>
          <w:rFonts w:eastAsia="Arial11" w:cs="Times New Roman1"/>
          <w:sz w:val="28"/>
          <w:szCs w:val="28"/>
          <w:lang w:bidi="hi-IN"/>
        </w:rPr>
        <w:t>рієнтовна сума прогнозних надходжень</w:t>
      </w:r>
      <w:r>
        <w:rPr>
          <w:sz w:val="28"/>
          <w:szCs w:val="28"/>
        </w:rPr>
        <w:t xml:space="preserve"> на 2018 рік була обрахована в сумі – 181 200,800 тис. грн.</w:t>
      </w:r>
      <w:r>
        <w:rPr>
          <w:color w:val="FF0000"/>
          <w:sz w:val="28"/>
          <w:szCs w:val="28"/>
        </w:rPr>
        <w:t xml:space="preserve"> </w:t>
      </w:r>
      <w:r>
        <w:rPr>
          <w:sz w:val="28"/>
          <w:szCs w:val="28"/>
        </w:rPr>
        <w:t>було передбачено ріст на 10,8% (</w:t>
      </w:r>
      <w:r>
        <w:rPr>
          <w:snapToGrid w:val="0"/>
          <w:sz w:val="28"/>
          <w:szCs w:val="28"/>
        </w:rPr>
        <w:t xml:space="preserve">очікуваний  коефіцієнт інфляції за 2017 рік – 1,112). Але за І півріччя 2018 року порівняно з </w:t>
      </w:r>
      <w:proofErr w:type="spellStart"/>
      <w:r>
        <w:rPr>
          <w:snapToGrid w:val="0"/>
          <w:sz w:val="28"/>
          <w:szCs w:val="28"/>
        </w:rPr>
        <w:t>в.п.м.р</w:t>
      </w:r>
      <w:proofErr w:type="spellEnd"/>
      <w:r>
        <w:rPr>
          <w:snapToGrid w:val="0"/>
          <w:sz w:val="28"/>
          <w:szCs w:val="28"/>
        </w:rPr>
        <w:t>. спостерігається зниження надходжень на 1,4% або /-/1 159,294 тис. грн.</w:t>
      </w:r>
      <w:r>
        <w:rPr>
          <w:sz w:val="28"/>
          <w:szCs w:val="28"/>
        </w:rPr>
        <w:t>;</w:t>
      </w:r>
    </w:p>
    <w:p w:rsidR="005E6794" w:rsidRDefault="005E6794" w:rsidP="005E6794">
      <w:pPr>
        <w:ind w:firstLine="709"/>
        <w:jc w:val="both"/>
        <w:rPr>
          <w:sz w:val="28"/>
          <w:szCs w:val="28"/>
        </w:rPr>
      </w:pPr>
    </w:p>
    <w:p w:rsidR="005E6794" w:rsidRDefault="005E6794" w:rsidP="005E6794">
      <w:pPr>
        <w:numPr>
          <w:ilvl w:val="0"/>
          <w:numId w:val="4"/>
        </w:numPr>
        <w:tabs>
          <w:tab w:val="left" w:pos="993"/>
        </w:tabs>
        <w:ind w:left="0" w:firstLine="709"/>
        <w:contextualSpacing/>
        <w:jc w:val="both"/>
        <w:rPr>
          <w:sz w:val="28"/>
          <w:szCs w:val="28"/>
        </w:rPr>
      </w:pPr>
      <w:r>
        <w:rPr>
          <w:sz w:val="28"/>
          <w:szCs w:val="28"/>
        </w:rPr>
        <w:t>платі за розміщення тимчасово вільних коштів місцевих бюджетів</w:t>
      </w:r>
      <w:r>
        <w:t xml:space="preserve"> </w:t>
      </w:r>
      <w:r>
        <w:rPr>
          <w:sz w:val="28"/>
          <w:szCs w:val="28"/>
        </w:rPr>
        <w:t xml:space="preserve">при плані 3 500,000 тис. грн. фактично надійшло 1 464,219 тис. грн. або 41,8%               /-/ 2 035,781 тис. грн.  та до річного плану – 14,6%. В 2017 році тимчасово вільні бюджетні кошти були розміщені на депозитних рахунках у трьох банках, які запропонували відсоткову ставку в розмірі 14%, фактично надійшло до міського бюджету плати за їх розміщення в сумі 11 945,260 тис. грн. </w:t>
      </w:r>
    </w:p>
    <w:p w:rsidR="005E6794" w:rsidRDefault="005E6794" w:rsidP="005E6794">
      <w:pPr>
        <w:ind w:firstLine="709"/>
        <w:jc w:val="both"/>
        <w:rPr>
          <w:spacing w:val="1"/>
          <w:sz w:val="28"/>
          <w:szCs w:val="28"/>
        </w:rPr>
      </w:pPr>
      <w:r>
        <w:rPr>
          <w:sz w:val="28"/>
          <w:szCs w:val="28"/>
        </w:rPr>
        <w:lastRenderedPageBreak/>
        <w:t xml:space="preserve">На 2018 рік заплановано  отримати 10 000,0 тис. грн. Але відсоткові ставки, запропоновані банками на </w:t>
      </w:r>
      <w:proofErr w:type="spellStart"/>
      <w:r>
        <w:rPr>
          <w:sz w:val="28"/>
          <w:szCs w:val="28"/>
        </w:rPr>
        <w:t>п.р</w:t>
      </w:r>
      <w:proofErr w:type="spellEnd"/>
      <w:r>
        <w:rPr>
          <w:sz w:val="28"/>
          <w:szCs w:val="28"/>
        </w:rPr>
        <w:t xml:space="preserve">., значно менші і склали 9,99%. Крім того, в зв’язку з невиконанням планових показників в </w:t>
      </w:r>
      <w:proofErr w:type="spellStart"/>
      <w:r>
        <w:rPr>
          <w:sz w:val="28"/>
          <w:szCs w:val="28"/>
        </w:rPr>
        <w:t>п.р</w:t>
      </w:r>
      <w:proofErr w:type="spellEnd"/>
      <w:r>
        <w:rPr>
          <w:sz w:val="28"/>
          <w:szCs w:val="28"/>
        </w:rPr>
        <w:t xml:space="preserve">., кошти з депозитних рахунків постійно </w:t>
      </w:r>
      <w:r>
        <w:rPr>
          <w:spacing w:val="1"/>
          <w:sz w:val="28"/>
          <w:szCs w:val="28"/>
        </w:rPr>
        <w:t xml:space="preserve">достроково </w:t>
      </w:r>
      <w:r>
        <w:rPr>
          <w:sz w:val="28"/>
          <w:szCs w:val="28"/>
        </w:rPr>
        <w:t>знімаються</w:t>
      </w:r>
      <w:r>
        <w:rPr>
          <w:spacing w:val="1"/>
          <w:sz w:val="28"/>
          <w:szCs w:val="28"/>
        </w:rPr>
        <w:t xml:space="preserve">  для своєчасної та повної виплати авансу та заробітної плати працівникам бюджетних установ.</w:t>
      </w:r>
    </w:p>
    <w:p w:rsidR="005E6794" w:rsidRDefault="005E6794" w:rsidP="005E6794">
      <w:pPr>
        <w:numPr>
          <w:ilvl w:val="0"/>
          <w:numId w:val="4"/>
        </w:numPr>
        <w:tabs>
          <w:tab w:val="left" w:pos="993"/>
        </w:tabs>
        <w:ind w:left="0" w:firstLine="709"/>
        <w:contextualSpacing/>
        <w:jc w:val="both"/>
        <w:rPr>
          <w:sz w:val="28"/>
          <w:szCs w:val="28"/>
        </w:rPr>
      </w:pPr>
      <w:r>
        <w:rPr>
          <w:sz w:val="28"/>
          <w:szCs w:val="28"/>
        </w:rPr>
        <w:t>податку на прибуток</w:t>
      </w:r>
      <w:r>
        <w:t xml:space="preserve"> </w:t>
      </w:r>
      <w:r>
        <w:rPr>
          <w:sz w:val="28"/>
          <w:szCs w:val="28"/>
        </w:rPr>
        <w:t>підприємств та фінансових установ комунальної власності – 95,9% /-/32,625 тис. грн., при плані 790,0 тис. грн. фактично отримано 757,375 тис. грн. та до річного плану виконання склало – 75,7%. До кінця року очікується перевиконання планових показників.</w:t>
      </w:r>
    </w:p>
    <w:p w:rsidR="005E6794" w:rsidRDefault="005E6794" w:rsidP="005E6794">
      <w:pPr>
        <w:ind w:firstLine="709"/>
        <w:jc w:val="both"/>
        <w:rPr>
          <w:spacing w:val="1"/>
          <w:sz w:val="28"/>
          <w:szCs w:val="28"/>
        </w:rPr>
      </w:pPr>
      <w:r>
        <w:rPr>
          <w:spacing w:val="1"/>
          <w:sz w:val="28"/>
          <w:szCs w:val="28"/>
        </w:rPr>
        <w:t>По інших джерелах доходів загального фонду забезпечено виконання планових показників, в тому числі по: податку на нерухоме майно – 117,8%, при плані 2 751,000 тис. грн. фактично надійшло 3 239,340 тис. грн.                              /+/488,340 тис. грн.; єдиному податку – 100,9%,  при плані 49 850,000 тис. грн. фактично надійшло 50 298,984 тис. грн. /+/ 448,984 тис. грн.; частині чистого прибутку  - 190,6% /+/ 452,072 тис. грн., при плані 499,000 тис. грн. фактично  надійшло 951,072 тис. грн.; платі за надання інших адміністративних послуг</w:t>
      </w:r>
      <w:r>
        <w:rPr>
          <w:sz w:val="28"/>
          <w:szCs w:val="28"/>
        </w:rPr>
        <w:t xml:space="preserve"> – 105,8%, при плані 6 914,000 тис. грн. фактично надійшло 7 312,226 тис. грн.                      /+/ 398,226 тис. грн.; </w:t>
      </w:r>
      <w:r>
        <w:rPr>
          <w:spacing w:val="1"/>
          <w:sz w:val="28"/>
          <w:szCs w:val="28"/>
        </w:rPr>
        <w:t>надходженню від орендної плати за користування майном, що перебуває в комунальній власності – 108,1%, при плані 3 250,000 тис. грн. фактично надійшло 3 513,089 тис. грн. /+/ 263,089 тис. грн. та ін.</w:t>
      </w:r>
    </w:p>
    <w:p w:rsidR="005E6794" w:rsidRDefault="005E6794" w:rsidP="005E6794">
      <w:pPr>
        <w:ind w:firstLine="696"/>
        <w:jc w:val="both"/>
        <w:rPr>
          <w:snapToGrid w:val="0"/>
          <w:sz w:val="28"/>
          <w:szCs w:val="28"/>
        </w:rPr>
      </w:pPr>
      <w:r>
        <w:rPr>
          <w:snapToGrid w:val="0"/>
          <w:sz w:val="28"/>
          <w:szCs w:val="28"/>
        </w:rPr>
        <w:t xml:space="preserve">Вперше, відповідно до наказу Міністерства фінансів України від 29.03.2018  № 392 «Про внесення змін до бюджетної класифікації», з 18.04.2018 було відкрито рахунок для зарахування плати за встановлення земельного сервітуту, яка із-за відсутності в класифікації такого коду зараховувалась на інші надходження. Сума надходжень за травень - червень місяці </w:t>
      </w:r>
      <w:proofErr w:type="spellStart"/>
      <w:r>
        <w:rPr>
          <w:snapToGrid w:val="0"/>
          <w:sz w:val="28"/>
          <w:szCs w:val="28"/>
        </w:rPr>
        <w:t>п.р</w:t>
      </w:r>
      <w:proofErr w:type="spellEnd"/>
      <w:r>
        <w:rPr>
          <w:snapToGrid w:val="0"/>
          <w:sz w:val="28"/>
          <w:szCs w:val="28"/>
        </w:rPr>
        <w:t>. склала 65,729 тис. грн.</w:t>
      </w:r>
    </w:p>
    <w:p w:rsidR="005E6794" w:rsidRDefault="005E6794" w:rsidP="005E6794">
      <w:pPr>
        <w:ind w:firstLine="709"/>
        <w:jc w:val="right"/>
        <w:rPr>
          <w:sz w:val="28"/>
          <w:szCs w:val="28"/>
        </w:rPr>
      </w:pPr>
      <w:r>
        <w:rPr>
          <w:sz w:val="28"/>
          <w:szCs w:val="28"/>
        </w:rPr>
        <w:t>тис. грн.</w:t>
      </w:r>
    </w:p>
    <w:p w:rsidR="005E6794" w:rsidRDefault="005E6794" w:rsidP="005E6794">
      <w:pPr>
        <w:pBdr>
          <w:top w:val="single" w:sz="4" w:space="1" w:color="auto"/>
          <w:left w:val="single" w:sz="4" w:space="4" w:color="auto"/>
          <w:bottom w:val="single" w:sz="4" w:space="1" w:color="auto"/>
          <w:right w:val="single" w:sz="4" w:space="4" w:color="auto"/>
        </w:pBdr>
        <w:jc w:val="right"/>
        <w:rPr>
          <w:b/>
          <w:sz w:val="28"/>
          <w:szCs w:val="28"/>
        </w:rPr>
      </w:pPr>
      <w:r>
        <w:rPr>
          <w:bCs/>
          <w:iCs/>
          <w:noProof/>
          <w:sz w:val="28"/>
          <w:szCs w:val="28"/>
          <w:lang w:val="ru-RU" w:eastAsia="ru-RU"/>
        </w:rPr>
        <w:drawing>
          <wp:inline distT="0" distB="0" distL="0" distR="0" wp14:anchorId="6024D1A3" wp14:editId="7F8B334D">
            <wp:extent cx="6032500" cy="3965166"/>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2500" cy="3965166"/>
                    </a:xfrm>
                    <a:prstGeom prst="rect">
                      <a:avLst/>
                    </a:prstGeom>
                    <a:noFill/>
                    <a:ln>
                      <a:noFill/>
                    </a:ln>
                  </pic:spPr>
                </pic:pic>
              </a:graphicData>
            </a:graphic>
          </wp:inline>
        </w:drawing>
      </w:r>
      <w:r>
        <w:rPr>
          <w:b/>
          <w:sz w:val="28"/>
          <w:szCs w:val="28"/>
        </w:rPr>
        <w:t xml:space="preserve">          </w:t>
      </w:r>
    </w:p>
    <w:p w:rsidR="005E6794" w:rsidRDefault="005E6794" w:rsidP="005E6794">
      <w:pPr>
        <w:ind w:firstLine="696"/>
        <w:jc w:val="both"/>
        <w:rPr>
          <w:snapToGrid w:val="0"/>
          <w:sz w:val="28"/>
          <w:szCs w:val="28"/>
          <w:lang w:val="ru-RU"/>
        </w:rPr>
      </w:pPr>
    </w:p>
    <w:p w:rsidR="005E6794" w:rsidRDefault="005E6794" w:rsidP="005E6794">
      <w:pPr>
        <w:ind w:firstLine="696"/>
        <w:jc w:val="both"/>
        <w:rPr>
          <w:snapToGrid w:val="0"/>
          <w:sz w:val="28"/>
          <w:szCs w:val="28"/>
        </w:rPr>
      </w:pPr>
      <w:r>
        <w:rPr>
          <w:snapToGrid w:val="0"/>
          <w:sz w:val="28"/>
          <w:szCs w:val="28"/>
        </w:rPr>
        <w:t xml:space="preserve">В 2018 році порівняно з 2017 роком зростання  надходжень до доходної частини загального фонду міського бюджету заплановано                                   на 35,1%  або  /+/ 381 827, 606 тис. грн., в тому числі </w:t>
      </w:r>
      <w:proofErr w:type="spellStart"/>
      <w:r>
        <w:rPr>
          <w:snapToGrid w:val="0"/>
          <w:sz w:val="28"/>
          <w:szCs w:val="28"/>
        </w:rPr>
        <w:t>пдфо</w:t>
      </w:r>
      <w:proofErr w:type="spellEnd"/>
      <w:r>
        <w:rPr>
          <w:snapToGrid w:val="0"/>
          <w:sz w:val="28"/>
          <w:szCs w:val="28"/>
        </w:rPr>
        <w:t xml:space="preserve"> – на 50,2% або                                              /+/ 342 146,174 тис. грн.</w:t>
      </w:r>
    </w:p>
    <w:p w:rsidR="005E6794" w:rsidRDefault="005E6794" w:rsidP="005E6794">
      <w:pPr>
        <w:ind w:firstLine="696"/>
        <w:jc w:val="both"/>
        <w:rPr>
          <w:snapToGrid w:val="0"/>
          <w:sz w:val="28"/>
          <w:szCs w:val="28"/>
        </w:rPr>
      </w:pPr>
      <w:r>
        <w:rPr>
          <w:snapToGrid w:val="0"/>
          <w:sz w:val="28"/>
          <w:szCs w:val="28"/>
        </w:rPr>
        <w:t xml:space="preserve">Станом на 01.07.2018 в  порівнянні з </w:t>
      </w:r>
      <w:proofErr w:type="spellStart"/>
      <w:r>
        <w:rPr>
          <w:snapToGrid w:val="0"/>
          <w:sz w:val="28"/>
          <w:szCs w:val="28"/>
        </w:rPr>
        <w:t>в.п.м.р</w:t>
      </w:r>
      <w:proofErr w:type="spellEnd"/>
      <w:r>
        <w:rPr>
          <w:snapToGrid w:val="0"/>
          <w:sz w:val="28"/>
          <w:szCs w:val="28"/>
        </w:rPr>
        <w:t xml:space="preserve">. надходження до загального фонду зросли на 24,0% або /+/ 121 075,604 тис. грн., в тому числі по: </w:t>
      </w:r>
    </w:p>
    <w:p w:rsidR="005E6794" w:rsidRDefault="005E6794" w:rsidP="005E6794">
      <w:pPr>
        <w:numPr>
          <w:ilvl w:val="0"/>
          <w:numId w:val="4"/>
        </w:numPr>
        <w:tabs>
          <w:tab w:val="left" w:pos="993"/>
        </w:tabs>
        <w:ind w:left="0" w:firstLine="709"/>
        <w:jc w:val="both"/>
        <w:rPr>
          <w:snapToGrid w:val="0"/>
          <w:sz w:val="28"/>
          <w:szCs w:val="28"/>
        </w:rPr>
      </w:pPr>
      <w:proofErr w:type="spellStart"/>
      <w:r>
        <w:rPr>
          <w:snapToGrid w:val="0"/>
          <w:sz w:val="28"/>
          <w:szCs w:val="28"/>
        </w:rPr>
        <w:t>пдфо</w:t>
      </w:r>
      <w:proofErr w:type="spellEnd"/>
      <w:r>
        <w:rPr>
          <w:snapToGrid w:val="0"/>
          <w:sz w:val="28"/>
          <w:szCs w:val="28"/>
        </w:rPr>
        <w:t xml:space="preserve"> на 37,0% або /+/ 115 281,479 тис. грн.; </w:t>
      </w:r>
    </w:p>
    <w:p w:rsidR="005E6794" w:rsidRDefault="005E6794" w:rsidP="005E6794">
      <w:pPr>
        <w:numPr>
          <w:ilvl w:val="0"/>
          <w:numId w:val="4"/>
        </w:numPr>
        <w:tabs>
          <w:tab w:val="left" w:pos="993"/>
        </w:tabs>
        <w:ind w:left="0" w:firstLine="709"/>
        <w:jc w:val="both"/>
        <w:rPr>
          <w:snapToGrid w:val="0"/>
          <w:sz w:val="28"/>
          <w:szCs w:val="28"/>
        </w:rPr>
      </w:pPr>
      <w:r>
        <w:rPr>
          <w:snapToGrid w:val="0"/>
          <w:sz w:val="28"/>
          <w:szCs w:val="28"/>
        </w:rPr>
        <w:t xml:space="preserve">єдиному податку на 17,8% /+/ 7  593,403 тис. грн.; </w:t>
      </w:r>
    </w:p>
    <w:p w:rsidR="005E6794" w:rsidRDefault="005E6794" w:rsidP="005E6794">
      <w:pPr>
        <w:numPr>
          <w:ilvl w:val="0"/>
          <w:numId w:val="4"/>
        </w:numPr>
        <w:tabs>
          <w:tab w:val="left" w:pos="993"/>
        </w:tabs>
        <w:ind w:left="0" w:firstLine="709"/>
        <w:jc w:val="both"/>
        <w:rPr>
          <w:snapToGrid w:val="0"/>
          <w:sz w:val="28"/>
          <w:szCs w:val="28"/>
          <w:lang w:val="ru-RU"/>
        </w:rPr>
      </w:pPr>
      <w:r>
        <w:rPr>
          <w:snapToGrid w:val="0"/>
          <w:sz w:val="28"/>
          <w:szCs w:val="28"/>
        </w:rPr>
        <w:t>платі за надання інших адміністративних послуг  в 1,7 р.                                   /+/ 2 878,069 тис. грн.;</w:t>
      </w:r>
    </w:p>
    <w:p w:rsidR="005E6794" w:rsidRDefault="005E6794" w:rsidP="005E6794">
      <w:pPr>
        <w:numPr>
          <w:ilvl w:val="0"/>
          <w:numId w:val="4"/>
        </w:numPr>
        <w:tabs>
          <w:tab w:val="left" w:pos="993"/>
        </w:tabs>
        <w:ind w:left="0" w:firstLine="709"/>
        <w:jc w:val="both"/>
        <w:rPr>
          <w:snapToGrid w:val="0"/>
          <w:sz w:val="28"/>
          <w:szCs w:val="28"/>
        </w:rPr>
      </w:pPr>
      <w:r>
        <w:rPr>
          <w:snapToGrid w:val="0"/>
          <w:sz w:val="28"/>
          <w:szCs w:val="28"/>
        </w:rPr>
        <w:t>податку на нерухоме майно в 1,6 р.  /+/1 188,698 тис. грн.;</w:t>
      </w:r>
    </w:p>
    <w:p w:rsidR="005E6794" w:rsidRDefault="005E6794" w:rsidP="005E6794">
      <w:pPr>
        <w:numPr>
          <w:ilvl w:val="0"/>
          <w:numId w:val="4"/>
        </w:numPr>
        <w:tabs>
          <w:tab w:val="left" w:pos="993"/>
        </w:tabs>
        <w:ind w:left="0" w:firstLine="709"/>
        <w:jc w:val="both"/>
        <w:rPr>
          <w:snapToGrid w:val="0"/>
          <w:sz w:val="28"/>
          <w:szCs w:val="28"/>
        </w:rPr>
      </w:pPr>
      <w:r>
        <w:rPr>
          <w:snapToGrid w:val="0"/>
          <w:sz w:val="28"/>
          <w:szCs w:val="28"/>
        </w:rPr>
        <w:t>надходженню від орендної плати за користування майном, що перебуває в комунальній власності  на 32,0% /+/ 851,404 тис. грн. та ін.</w:t>
      </w:r>
    </w:p>
    <w:p w:rsidR="005E6794" w:rsidRDefault="005E6794" w:rsidP="005E6794">
      <w:pPr>
        <w:ind w:firstLine="696"/>
        <w:jc w:val="both"/>
        <w:rPr>
          <w:snapToGrid w:val="0"/>
          <w:sz w:val="28"/>
          <w:szCs w:val="28"/>
        </w:rPr>
      </w:pPr>
      <w:r>
        <w:rPr>
          <w:snapToGrid w:val="0"/>
          <w:sz w:val="28"/>
          <w:szCs w:val="28"/>
        </w:rPr>
        <w:t xml:space="preserve">Зниження надходжень порівняно з </w:t>
      </w:r>
      <w:proofErr w:type="spellStart"/>
      <w:r>
        <w:rPr>
          <w:snapToGrid w:val="0"/>
          <w:sz w:val="28"/>
          <w:szCs w:val="28"/>
        </w:rPr>
        <w:t>в.п.м.р</w:t>
      </w:r>
      <w:proofErr w:type="spellEnd"/>
      <w:r>
        <w:rPr>
          <w:snapToGrid w:val="0"/>
          <w:sz w:val="28"/>
          <w:szCs w:val="28"/>
        </w:rPr>
        <w:t>. відбулося по:</w:t>
      </w:r>
    </w:p>
    <w:p w:rsidR="005E6794" w:rsidRDefault="005E6794" w:rsidP="005E6794">
      <w:pPr>
        <w:numPr>
          <w:ilvl w:val="0"/>
          <w:numId w:val="4"/>
        </w:numPr>
        <w:tabs>
          <w:tab w:val="left" w:pos="993"/>
        </w:tabs>
        <w:ind w:left="0" w:firstLine="709"/>
        <w:jc w:val="both"/>
        <w:rPr>
          <w:snapToGrid w:val="0"/>
          <w:sz w:val="28"/>
          <w:szCs w:val="28"/>
        </w:rPr>
      </w:pPr>
      <w:r>
        <w:rPr>
          <w:snapToGrid w:val="0"/>
          <w:sz w:val="28"/>
          <w:szCs w:val="28"/>
        </w:rPr>
        <w:t>акцизному податку /-/ 3 258,211 тис. грн. або на 6,3%;</w:t>
      </w:r>
    </w:p>
    <w:p w:rsidR="005E6794" w:rsidRDefault="005E6794" w:rsidP="005E6794">
      <w:pPr>
        <w:numPr>
          <w:ilvl w:val="0"/>
          <w:numId w:val="4"/>
        </w:numPr>
        <w:tabs>
          <w:tab w:val="left" w:pos="993"/>
        </w:tabs>
        <w:ind w:left="0" w:firstLine="709"/>
        <w:jc w:val="both"/>
        <w:rPr>
          <w:snapToGrid w:val="0"/>
          <w:sz w:val="28"/>
          <w:szCs w:val="28"/>
        </w:rPr>
      </w:pPr>
      <w:r>
        <w:rPr>
          <w:snapToGrid w:val="0"/>
          <w:sz w:val="28"/>
          <w:szCs w:val="28"/>
        </w:rPr>
        <w:t>платі за розміщення тимчасово вільних коштів місцевих бюджетів             /-/  2 024,274 тис. грн. або на 58,0%;</w:t>
      </w:r>
    </w:p>
    <w:p w:rsidR="005E6794" w:rsidRDefault="005E6794" w:rsidP="005E6794">
      <w:pPr>
        <w:numPr>
          <w:ilvl w:val="0"/>
          <w:numId w:val="4"/>
        </w:numPr>
        <w:tabs>
          <w:tab w:val="left" w:pos="993"/>
        </w:tabs>
        <w:ind w:left="0" w:firstLine="709"/>
        <w:jc w:val="both"/>
        <w:rPr>
          <w:snapToGrid w:val="0"/>
          <w:sz w:val="28"/>
          <w:szCs w:val="28"/>
        </w:rPr>
      </w:pPr>
      <w:r>
        <w:rPr>
          <w:snapToGrid w:val="0"/>
          <w:sz w:val="28"/>
          <w:szCs w:val="28"/>
        </w:rPr>
        <w:t>податку на майно в частині земельного податку /-/1 159,294 тис. грн. або на 1,4%;</w:t>
      </w:r>
    </w:p>
    <w:p w:rsidR="005E6794" w:rsidRDefault="005E6794" w:rsidP="005E6794">
      <w:pPr>
        <w:numPr>
          <w:ilvl w:val="0"/>
          <w:numId w:val="4"/>
        </w:numPr>
        <w:tabs>
          <w:tab w:val="left" w:pos="993"/>
        </w:tabs>
        <w:ind w:left="0" w:firstLine="709"/>
        <w:jc w:val="both"/>
        <w:rPr>
          <w:snapToGrid w:val="0"/>
          <w:sz w:val="28"/>
          <w:szCs w:val="28"/>
        </w:rPr>
      </w:pPr>
      <w:r>
        <w:rPr>
          <w:snapToGrid w:val="0"/>
          <w:sz w:val="28"/>
          <w:szCs w:val="28"/>
        </w:rPr>
        <w:t>податку на прибуток підприємств та фінансових установ комунальної власності /-/ 841,554 тис. грн. або на 52,6% та по деяких інших.</w:t>
      </w:r>
    </w:p>
    <w:p w:rsidR="005E6794" w:rsidRDefault="005E6794" w:rsidP="005E6794">
      <w:pPr>
        <w:ind w:firstLine="696"/>
        <w:jc w:val="both"/>
        <w:rPr>
          <w:sz w:val="28"/>
          <w:szCs w:val="28"/>
        </w:rPr>
      </w:pPr>
      <w:r>
        <w:rPr>
          <w:spacing w:val="1"/>
          <w:sz w:val="28"/>
          <w:szCs w:val="28"/>
        </w:rPr>
        <w:t>За інформацією управління економіки виконавчого комітету Кременчуцької міської ради Полтавської області станом на 01.07.2018 с</w:t>
      </w:r>
      <w:r>
        <w:rPr>
          <w:sz w:val="28"/>
          <w:szCs w:val="28"/>
        </w:rPr>
        <w:t xml:space="preserve">постерігалося зростання обсягів виробництва порівняно з </w:t>
      </w:r>
      <w:proofErr w:type="spellStart"/>
      <w:r>
        <w:rPr>
          <w:sz w:val="28"/>
          <w:szCs w:val="28"/>
        </w:rPr>
        <w:t>в.п.м.р</w:t>
      </w:r>
      <w:proofErr w:type="spellEnd"/>
      <w:r>
        <w:rPr>
          <w:sz w:val="28"/>
          <w:szCs w:val="28"/>
        </w:rPr>
        <w:t>. по наступних бюджетоутворюючих підприємствах міста:</w:t>
      </w:r>
      <w:r>
        <w:rPr>
          <w:color w:val="FF0000"/>
          <w:sz w:val="28"/>
          <w:szCs w:val="28"/>
        </w:rPr>
        <w:t xml:space="preserve"> </w:t>
      </w:r>
      <w:r>
        <w:rPr>
          <w:sz w:val="28"/>
          <w:szCs w:val="28"/>
        </w:rPr>
        <w:t>ПАТ «</w:t>
      </w:r>
      <w:proofErr w:type="spellStart"/>
      <w:r>
        <w:rPr>
          <w:sz w:val="28"/>
          <w:szCs w:val="28"/>
        </w:rPr>
        <w:t>Крюківський</w:t>
      </w:r>
      <w:proofErr w:type="spellEnd"/>
      <w:r>
        <w:rPr>
          <w:sz w:val="28"/>
          <w:szCs w:val="28"/>
        </w:rPr>
        <w:t xml:space="preserve"> вагонобудівний завод» збільшено випуск вантажних вагонів  на 69,1%; пасажирські вагони: січень - червень 2018 року –  0  шт., січень - червень               2017 року – 13 шт.; ПрАТ «</w:t>
      </w:r>
      <w:proofErr w:type="spellStart"/>
      <w:r>
        <w:rPr>
          <w:sz w:val="28"/>
          <w:szCs w:val="28"/>
        </w:rPr>
        <w:t>Кредмаш</w:t>
      </w:r>
      <w:proofErr w:type="spellEnd"/>
      <w:r>
        <w:rPr>
          <w:sz w:val="28"/>
          <w:szCs w:val="28"/>
        </w:rPr>
        <w:t>» - на 17,9%; ПАТ «</w:t>
      </w:r>
      <w:proofErr w:type="spellStart"/>
      <w:r>
        <w:rPr>
          <w:sz w:val="28"/>
          <w:szCs w:val="28"/>
        </w:rPr>
        <w:t>Стальзавод</w:t>
      </w:r>
      <w:proofErr w:type="spellEnd"/>
      <w:r>
        <w:rPr>
          <w:sz w:val="28"/>
          <w:szCs w:val="28"/>
        </w:rPr>
        <w:t>» -  на 84,4%;  ПрАТ «КЗТВ» – на 21,8%;   ПАТ «Кременчуцьке кар’єроуправління «Кварц» - майже в 2 р.; ПрАТ «Кременчуцька кондитерська фабрика «РОШЕН» - на 2,0%;  ТОВ «</w:t>
      </w:r>
      <w:proofErr w:type="spellStart"/>
      <w:r>
        <w:rPr>
          <w:sz w:val="28"/>
          <w:szCs w:val="28"/>
        </w:rPr>
        <w:t>Малокохнівський</w:t>
      </w:r>
      <w:proofErr w:type="spellEnd"/>
      <w:r>
        <w:rPr>
          <w:sz w:val="28"/>
          <w:szCs w:val="28"/>
        </w:rPr>
        <w:t xml:space="preserve"> кар’єр»</w:t>
      </w:r>
      <w:r>
        <w:t xml:space="preserve"> </w:t>
      </w:r>
      <w:r>
        <w:rPr>
          <w:sz w:val="28"/>
          <w:szCs w:val="28"/>
        </w:rPr>
        <w:t xml:space="preserve">- на 79,5%. </w:t>
      </w:r>
    </w:p>
    <w:p w:rsidR="005E6794" w:rsidRDefault="005E6794" w:rsidP="005E6794">
      <w:pPr>
        <w:ind w:firstLine="696"/>
        <w:jc w:val="both"/>
        <w:rPr>
          <w:sz w:val="28"/>
          <w:szCs w:val="28"/>
        </w:rPr>
      </w:pPr>
      <w:r>
        <w:rPr>
          <w:sz w:val="28"/>
          <w:szCs w:val="28"/>
        </w:rPr>
        <w:t>В той же час зниження обсягів виробництва в порівнянні з аналогічним періодом  2017 року відбулось на:  ПрАТ «Кременчуцький колісний завод» - на 24,5%;</w:t>
      </w:r>
      <w:r>
        <w:t xml:space="preserve"> </w:t>
      </w:r>
      <w:r>
        <w:rPr>
          <w:sz w:val="28"/>
          <w:szCs w:val="28"/>
        </w:rPr>
        <w:t xml:space="preserve">ПрАТ «Кременчуцький </w:t>
      </w:r>
      <w:proofErr w:type="spellStart"/>
      <w:r>
        <w:rPr>
          <w:sz w:val="28"/>
          <w:szCs w:val="28"/>
        </w:rPr>
        <w:t>міськмолокозавод</w:t>
      </w:r>
      <w:proofErr w:type="spellEnd"/>
      <w:r>
        <w:rPr>
          <w:sz w:val="28"/>
          <w:szCs w:val="28"/>
        </w:rPr>
        <w:t>» - на 6,8%; ВП «</w:t>
      </w:r>
      <w:proofErr w:type="spellStart"/>
      <w:r>
        <w:rPr>
          <w:sz w:val="28"/>
          <w:szCs w:val="28"/>
        </w:rPr>
        <w:t>Крюківський</w:t>
      </w:r>
      <w:proofErr w:type="spellEnd"/>
      <w:r>
        <w:rPr>
          <w:sz w:val="28"/>
          <w:szCs w:val="28"/>
        </w:rPr>
        <w:t xml:space="preserve"> кар’єр» «</w:t>
      </w:r>
      <w:proofErr w:type="spellStart"/>
      <w:r>
        <w:rPr>
          <w:sz w:val="28"/>
          <w:szCs w:val="28"/>
        </w:rPr>
        <w:t>ЦУП»ПАТ«Укрзалізниця</w:t>
      </w:r>
      <w:proofErr w:type="spellEnd"/>
      <w:r>
        <w:rPr>
          <w:sz w:val="28"/>
          <w:szCs w:val="28"/>
        </w:rPr>
        <w:t>»</w:t>
      </w:r>
      <w:r>
        <w:t xml:space="preserve"> - </w:t>
      </w:r>
      <w:r>
        <w:rPr>
          <w:sz w:val="28"/>
          <w:szCs w:val="28"/>
        </w:rPr>
        <w:t>на 18,4%; ПрАТ КВТФ «КРЕМТЕКС» - на 4,8%;</w:t>
      </w:r>
      <w:r>
        <w:t xml:space="preserve"> </w:t>
      </w:r>
      <w:r>
        <w:rPr>
          <w:sz w:val="28"/>
          <w:szCs w:val="28"/>
        </w:rPr>
        <w:t>ТОВ «Кременчуцький хлібокомбінат» - на 18,9%.</w:t>
      </w:r>
    </w:p>
    <w:p w:rsidR="005E6794" w:rsidRDefault="005E6794" w:rsidP="005E6794">
      <w:pPr>
        <w:ind w:firstLine="696"/>
        <w:jc w:val="both"/>
        <w:rPr>
          <w:spacing w:val="1"/>
          <w:sz w:val="28"/>
          <w:szCs w:val="28"/>
        </w:rPr>
      </w:pPr>
    </w:p>
    <w:p w:rsidR="005E6794" w:rsidRDefault="005E6794" w:rsidP="005E6794">
      <w:pPr>
        <w:jc w:val="center"/>
        <w:rPr>
          <w:b/>
          <w:sz w:val="28"/>
          <w:szCs w:val="28"/>
          <w:shd w:val="clear" w:color="auto" w:fill="FFFFFF"/>
        </w:rPr>
      </w:pPr>
      <w:r>
        <w:rPr>
          <w:b/>
          <w:sz w:val="28"/>
          <w:szCs w:val="28"/>
          <w:shd w:val="clear" w:color="auto" w:fill="FFFFFF"/>
        </w:rPr>
        <w:t xml:space="preserve">Інформація </w:t>
      </w:r>
    </w:p>
    <w:p w:rsidR="005E6794" w:rsidRDefault="005E6794" w:rsidP="005E6794">
      <w:pPr>
        <w:jc w:val="center"/>
        <w:rPr>
          <w:b/>
          <w:sz w:val="28"/>
          <w:szCs w:val="28"/>
        </w:rPr>
      </w:pPr>
      <w:r>
        <w:rPr>
          <w:b/>
          <w:sz w:val="28"/>
          <w:szCs w:val="28"/>
          <w:shd w:val="clear" w:color="auto" w:fill="FFFFFF"/>
        </w:rPr>
        <w:t xml:space="preserve">щодо сум збільшення/зменшення надходжень  ПДФО  (контингент)            станом на 01.07.2018   в порівнянні з </w:t>
      </w:r>
      <w:proofErr w:type="spellStart"/>
      <w:r>
        <w:rPr>
          <w:b/>
          <w:sz w:val="28"/>
          <w:szCs w:val="28"/>
          <w:shd w:val="clear" w:color="auto" w:fill="FFFFFF"/>
        </w:rPr>
        <w:t>в.п.м.р</w:t>
      </w:r>
      <w:proofErr w:type="spellEnd"/>
      <w:r>
        <w:rPr>
          <w:b/>
          <w:sz w:val="28"/>
          <w:szCs w:val="28"/>
          <w:shd w:val="clear" w:color="auto" w:fill="FFFFFF"/>
        </w:rPr>
        <w:t>.</w:t>
      </w:r>
    </w:p>
    <w:p w:rsidR="005E6794" w:rsidRDefault="005E6794" w:rsidP="005E6794">
      <w:pPr>
        <w:autoSpaceDE w:val="0"/>
        <w:autoSpaceDN w:val="0"/>
        <w:adjustRightInd w:val="0"/>
        <w:spacing w:after="120"/>
        <w:ind w:firstLine="567"/>
        <w:jc w:val="both"/>
        <w:rPr>
          <w:kern w:val="2"/>
        </w:rPr>
      </w:pPr>
      <w:r>
        <w:rPr>
          <w:color w:val="FF0000"/>
          <w:kern w:val="2"/>
          <w:sz w:val="28"/>
        </w:rPr>
        <w:tab/>
      </w:r>
      <w:r>
        <w:rPr>
          <w:color w:val="FF0000"/>
          <w:kern w:val="2"/>
          <w:sz w:val="28"/>
        </w:rPr>
        <w:tab/>
      </w:r>
      <w:r>
        <w:rPr>
          <w:color w:val="FF0000"/>
          <w:kern w:val="2"/>
          <w:sz w:val="28"/>
        </w:rPr>
        <w:tab/>
      </w:r>
      <w:r>
        <w:rPr>
          <w:color w:val="FF0000"/>
          <w:kern w:val="2"/>
          <w:sz w:val="28"/>
        </w:rPr>
        <w:tab/>
      </w:r>
      <w:r>
        <w:rPr>
          <w:color w:val="FF0000"/>
          <w:kern w:val="2"/>
          <w:sz w:val="28"/>
        </w:rPr>
        <w:tab/>
      </w:r>
      <w:r>
        <w:rPr>
          <w:color w:val="FF0000"/>
          <w:kern w:val="2"/>
          <w:sz w:val="28"/>
        </w:rPr>
        <w:tab/>
      </w:r>
      <w:r>
        <w:rPr>
          <w:color w:val="FF0000"/>
          <w:kern w:val="2"/>
          <w:sz w:val="28"/>
        </w:rPr>
        <w:tab/>
      </w:r>
      <w:r>
        <w:rPr>
          <w:color w:val="FF0000"/>
          <w:kern w:val="2"/>
          <w:sz w:val="28"/>
        </w:rPr>
        <w:tab/>
      </w:r>
      <w:r>
        <w:rPr>
          <w:color w:val="FF0000"/>
          <w:kern w:val="2"/>
          <w:sz w:val="28"/>
        </w:rPr>
        <w:tab/>
      </w:r>
      <w:r>
        <w:rPr>
          <w:color w:val="FF0000"/>
          <w:kern w:val="2"/>
          <w:sz w:val="28"/>
        </w:rPr>
        <w:tab/>
        <w:t xml:space="preserve">             </w:t>
      </w:r>
      <w:proofErr w:type="spellStart"/>
      <w:r>
        <w:rPr>
          <w:kern w:val="2"/>
          <w:sz w:val="28"/>
        </w:rPr>
        <w:t>тис.грн</w:t>
      </w:r>
      <w:proofErr w:type="spellEnd"/>
      <w:r>
        <w:rPr>
          <w:kern w:val="2"/>
          <w:sz w:val="28"/>
        </w:rPr>
        <w:t>.</w:t>
      </w:r>
    </w:p>
    <w:tbl>
      <w:tblPr>
        <w:tblW w:w="9645" w:type="dxa"/>
        <w:tblInd w:w="5" w:type="dxa"/>
        <w:tblLayout w:type="fixed"/>
        <w:tblCellMar>
          <w:left w:w="0" w:type="dxa"/>
          <w:right w:w="0" w:type="dxa"/>
        </w:tblCellMar>
        <w:tblLook w:val="04A0" w:firstRow="1" w:lastRow="0" w:firstColumn="1" w:lastColumn="0" w:noHBand="0" w:noVBand="1"/>
      </w:tblPr>
      <w:tblGrid>
        <w:gridCol w:w="925"/>
        <w:gridCol w:w="5599"/>
        <w:gridCol w:w="1702"/>
        <w:gridCol w:w="1419"/>
      </w:tblGrid>
      <w:tr w:rsidR="005E6794" w:rsidTr="005E6794">
        <w:trPr>
          <w:trHeight w:val="265"/>
        </w:trPr>
        <w:tc>
          <w:tcPr>
            <w:tcW w:w="925" w:type="dxa"/>
            <w:tcBorders>
              <w:top w:val="single" w:sz="4" w:space="0" w:color="000001"/>
              <w:left w:val="single" w:sz="4" w:space="0" w:color="000001"/>
              <w:bottom w:val="single" w:sz="4" w:space="0" w:color="000001"/>
              <w:right w:val="single" w:sz="4" w:space="0" w:color="000001"/>
            </w:tcBorders>
            <w:vAlign w:val="center"/>
            <w:hideMark/>
          </w:tcPr>
          <w:p w:rsidR="005E6794" w:rsidRDefault="005E6794">
            <w:pPr>
              <w:autoSpaceDE w:val="0"/>
              <w:autoSpaceDN w:val="0"/>
              <w:adjustRightInd w:val="0"/>
              <w:spacing w:after="120" w:line="276" w:lineRule="auto"/>
              <w:jc w:val="center"/>
              <w:rPr>
                <w:kern w:val="2"/>
              </w:rPr>
            </w:pPr>
            <w:r>
              <w:rPr>
                <w:kern w:val="2"/>
                <w:sz w:val="28"/>
              </w:rPr>
              <w:t>№ з/п</w:t>
            </w:r>
          </w:p>
        </w:tc>
        <w:tc>
          <w:tcPr>
            <w:tcW w:w="5599" w:type="dxa"/>
            <w:tcBorders>
              <w:top w:val="single" w:sz="4" w:space="0" w:color="000001"/>
              <w:left w:val="nil"/>
              <w:bottom w:val="single" w:sz="4" w:space="0" w:color="000001"/>
              <w:right w:val="single" w:sz="4" w:space="0" w:color="000001"/>
            </w:tcBorders>
            <w:vAlign w:val="center"/>
            <w:hideMark/>
          </w:tcPr>
          <w:p w:rsidR="005E6794" w:rsidRDefault="005E6794">
            <w:pPr>
              <w:autoSpaceDE w:val="0"/>
              <w:autoSpaceDN w:val="0"/>
              <w:adjustRightInd w:val="0"/>
              <w:spacing w:after="120" w:line="276" w:lineRule="auto"/>
              <w:ind w:firstLine="567"/>
              <w:jc w:val="center"/>
              <w:rPr>
                <w:kern w:val="2"/>
              </w:rPr>
            </w:pPr>
            <w:r>
              <w:rPr>
                <w:kern w:val="2"/>
                <w:sz w:val="28"/>
              </w:rPr>
              <w:t>Назва підприємства</w:t>
            </w:r>
          </w:p>
        </w:tc>
        <w:tc>
          <w:tcPr>
            <w:tcW w:w="1702" w:type="dxa"/>
            <w:tcBorders>
              <w:top w:val="single" w:sz="4" w:space="0" w:color="000001"/>
              <w:left w:val="nil"/>
              <w:bottom w:val="single" w:sz="4" w:space="0" w:color="000001"/>
              <w:right w:val="single" w:sz="4" w:space="0" w:color="000001"/>
            </w:tcBorders>
            <w:vAlign w:val="center"/>
            <w:hideMark/>
          </w:tcPr>
          <w:p w:rsidR="005E6794" w:rsidRDefault="005E6794">
            <w:pPr>
              <w:autoSpaceDE w:val="0"/>
              <w:autoSpaceDN w:val="0"/>
              <w:adjustRightInd w:val="0"/>
              <w:spacing w:after="120" w:line="276" w:lineRule="auto"/>
              <w:jc w:val="center"/>
              <w:rPr>
                <w:kern w:val="2"/>
              </w:rPr>
            </w:pPr>
            <w:r>
              <w:rPr>
                <w:kern w:val="2"/>
                <w:sz w:val="28"/>
              </w:rPr>
              <w:t>Сума (+/-)</w:t>
            </w:r>
          </w:p>
        </w:tc>
        <w:tc>
          <w:tcPr>
            <w:tcW w:w="1419" w:type="dxa"/>
            <w:tcBorders>
              <w:top w:val="single" w:sz="4" w:space="0" w:color="000001"/>
              <w:left w:val="nil"/>
              <w:bottom w:val="single" w:sz="4" w:space="0" w:color="000001"/>
              <w:right w:val="single" w:sz="4" w:space="0" w:color="000001"/>
            </w:tcBorders>
            <w:vAlign w:val="center"/>
            <w:hideMark/>
          </w:tcPr>
          <w:p w:rsidR="005E6794" w:rsidRDefault="005E6794">
            <w:pPr>
              <w:autoSpaceDE w:val="0"/>
              <w:autoSpaceDN w:val="0"/>
              <w:adjustRightInd w:val="0"/>
              <w:spacing w:after="120" w:line="276" w:lineRule="auto"/>
              <w:jc w:val="center"/>
              <w:rPr>
                <w:kern w:val="2"/>
              </w:rPr>
            </w:pPr>
            <w:r>
              <w:rPr>
                <w:kern w:val="2"/>
                <w:sz w:val="28"/>
              </w:rPr>
              <w:t>%</w:t>
            </w:r>
          </w:p>
        </w:tc>
      </w:tr>
      <w:tr w:rsidR="005E6794" w:rsidTr="005E6794">
        <w:trPr>
          <w:trHeight w:val="454"/>
        </w:trPr>
        <w:tc>
          <w:tcPr>
            <w:tcW w:w="925" w:type="dxa"/>
            <w:tcBorders>
              <w:top w:val="nil"/>
              <w:left w:val="single" w:sz="4" w:space="0" w:color="000001"/>
              <w:bottom w:val="single" w:sz="4" w:space="0" w:color="000001"/>
              <w:right w:val="single" w:sz="4" w:space="0" w:color="000001"/>
            </w:tcBorders>
            <w:vAlign w:val="center"/>
            <w:hideMark/>
          </w:tcPr>
          <w:p w:rsidR="005E6794" w:rsidRDefault="005E6794">
            <w:pPr>
              <w:autoSpaceDE w:val="0"/>
              <w:autoSpaceDN w:val="0"/>
              <w:adjustRightInd w:val="0"/>
              <w:spacing w:line="276" w:lineRule="auto"/>
              <w:jc w:val="center"/>
              <w:rPr>
                <w:kern w:val="2"/>
                <w:sz w:val="28"/>
                <w:szCs w:val="28"/>
                <w:lang w:eastAsia="zh-CN" w:bidi="hi-IN"/>
              </w:rPr>
            </w:pPr>
            <w:r>
              <w:rPr>
                <w:kern w:val="2"/>
                <w:sz w:val="28"/>
                <w:szCs w:val="28"/>
                <w:lang w:eastAsia="zh-CN" w:bidi="hi-IN"/>
              </w:rPr>
              <w:t>1.</w:t>
            </w:r>
          </w:p>
        </w:tc>
        <w:tc>
          <w:tcPr>
            <w:tcW w:w="5599" w:type="dxa"/>
            <w:tcBorders>
              <w:top w:val="nil"/>
              <w:left w:val="nil"/>
              <w:bottom w:val="single" w:sz="4" w:space="0" w:color="000001"/>
              <w:right w:val="single" w:sz="4" w:space="0" w:color="000001"/>
            </w:tcBorders>
            <w:vAlign w:val="center"/>
            <w:hideMark/>
          </w:tcPr>
          <w:p w:rsidR="005E6794" w:rsidRDefault="005E6794">
            <w:pPr>
              <w:rPr>
                <w:sz w:val="28"/>
                <w:szCs w:val="28"/>
              </w:rPr>
            </w:pPr>
            <w:r>
              <w:rPr>
                <w:sz w:val="28"/>
                <w:szCs w:val="28"/>
              </w:rPr>
              <w:t xml:space="preserve"> ПАТ «КВБЗ»</w:t>
            </w:r>
          </w:p>
        </w:tc>
        <w:tc>
          <w:tcPr>
            <w:tcW w:w="1702"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35 260,6</w:t>
            </w:r>
          </w:p>
        </w:tc>
        <w:tc>
          <w:tcPr>
            <w:tcW w:w="1419"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2,0 р.</w:t>
            </w:r>
          </w:p>
        </w:tc>
      </w:tr>
      <w:tr w:rsidR="005E6794" w:rsidTr="005E6794">
        <w:trPr>
          <w:trHeight w:val="454"/>
        </w:trPr>
        <w:tc>
          <w:tcPr>
            <w:tcW w:w="925" w:type="dxa"/>
            <w:tcBorders>
              <w:top w:val="nil"/>
              <w:left w:val="single" w:sz="4" w:space="0" w:color="000001"/>
              <w:bottom w:val="single" w:sz="4" w:space="0" w:color="000001"/>
              <w:right w:val="single" w:sz="4" w:space="0" w:color="000001"/>
            </w:tcBorders>
            <w:vAlign w:val="center"/>
            <w:hideMark/>
          </w:tcPr>
          <w:p w:rsidR="005E6794" w:rsidRDefault="005E6794">
            <w:pPr>
              <w:autoSpaceDE w:val="0"/>
              <w:autoSpaceDN w:val="0"/>
              <w:adjustRightInd w:val="0"/>
              <w:spacing w:line="276" w:lineRule="auto"/>
              <w:jc w:val="center"/>
              <w:rPr>
                <w:kern w:val="2"/>
                <w:sz w:val="28"/>
                <w:szCs w:val="28"/>
                <w:lang w:eastAsia="zh-CN" w:bidi="hi-IN"/>
              </w:rPr>
            </w:pPr>
            <w:r>
              <w:rPr>
                <w:kern w:val="2"/>
                <w:sz w:val="28"/>
                <w:szCs w:val="28"/>
                <w:lang w:eastAsia="zh-CN" w:bidi="hi-IN"/>
              </w:rPr>
              <w:lastRenderedPageBreak/>
              <w:t>2.</w:t>
            </w:r>
          </w:p>
        </w:tc>
        <w:tc>
          <w:tcPr>
            <w:tcW w:w="5599" w:type="dxa"/>
            <w:tcBorders>
              <w:top w:val="nil"/>
              <w:left w:val="nil"/>
              <w:bottom w:val="single" w:sz="4" w:space="0" w:color="000001"/>
              <w:right w:val="single" w:sz="4" w:space="0" w:color="000001"/>
            </w:tcBorders>
            <w:vAlign w:val="center"/>
            <w:hideMark/>
          </w:tcPr>
          <w:p w:rsidR="005E6794" w:rsidRDefault="005E6794">
            <w:pPr>
              <w:rPr>
                <w:sz w:val="28"/>
                <w:szCs w:val="28"/>
              </w:rPr>
            </w:pPr>
            <w:r>
              <w:rPr>
                <w:sz w:val="28"/>
                <w:szCs w:val="28"/>
              </w:rPr>
              <w:t xml:space="preserve"> ПАТ «Укртатнафта»</w:t>
            </w:r>
          </w:p>
        </w:tc>
        <w:tc>
          <w:tcPr>
            <w:tcW w:w="1702"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15 845,8</w:t>
            </w:r>
          </w:p>
        </w:tc>
        <w:tc>
          <w:tcPr>
            <w:tcW w:w="1419"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32,4</w:t>
            </w:r>
          </w:p>
        </w:tc>
      </w:tr>
      <w:tr w:rsidR="005E6794" w:rsidTr="005E6794">
        <w:trPr>
          <w:trHeight w:val="454"/>
        </w:trPr>
        <w:tc>
          <w:tcPr>
            <w:tcW w:w="925" w:type="dxa"/>
            <w:tcBorders>
              <w:top w:val="nil"/>
              <w:left w:val="single" w:sz="4" w:space="0" w:color="000001"/>
              <w:bottom w:val="single" w:sz="4" w:space="0" w:color="000001"/>
              <w:right w:val="single" w:sz="4" w:space="0" w:color="000001"/>
            </w:tcBorders>
            <w:vAlign w:val="center"/>
            <w:hideMark/>
          </w:tcPr>
          <w:p w:rsidR="005E6794" w:rsidRDefault="005E6794">
            <w:pPr>
              <w:autoSpaceDE w:val="0"/>
              <w:autoSpaceDN w:val="0"/>
              <w:adjustRightInd w:val="0"/>
              <w:spacing w:line="276" w:lineRule="auto"/>
              <w:jc w:val="center"/>
              <w:rPr>
                <w:kern w:val="2"/>
                <w:sz w:val="28"/>
                <w:szCs w:val="28"/>
                <w:lang w:eastAsia="zh-CN" w:bidi="hi-IN"/>
              </w:rPr>
            </w:pPr>
            <w:r>
              <w:rPr>
                <w:kern w:val="2"/>
                <w:sz w:val="28"/>
                <w:szCs w:val="28"/>
                <w:lang w:eastAsia="zh-CN" w:bidi="hi-IN"/>
              </w:rPr>
              <w:t>3.</w:t>
            </w:r>
          </w:p>
        </w:tc>
        <w:tc>
          <w:tcPr>
            <w:tcW w:w="5599" w:type="dxa"/>
            <w:tcBorders>
              <w:top w:val="nil"/>
              <w:left w:val="nil"/>
              <w:bottom w:val="single" w:sz="4" w:space="0" w:color="000001"/>
              <w:right w:val="single" w:sz="4" w:space="0" w:color="000001"/>
            </w:tcBorders>
            <w:vAlign w:val="center"/>
            <w:hideMark/>
          </w:tcPr>
          <w:p w:rsidR="005E6794" w:rsidRDefault="005E6794">
            <w:pPr>
              <w:rPr>
                <w:sz w:val="28"/>
                <w:szCs w:val="28"/>
              </w:rPr>
            </w:pPr>
            <w:r>
              <w:rPr>
                <w:sz w:val="28"/>
                <w:szCs w:val="28"/>
              </w:rPr>
              <w:t xml:space="preserve"> ПАТ «КСЗ»</w:t>
            </w:r>
          </w:p>
        </w:tc>
        <w:tc>
          <w:tcPr>
            <w:tcW w:w="1702"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14 012,3</w:t>
            </w:r>
          </w:p>
        </w:tc>
        <w:tc>
          <w:tcPr>
            <w:tcW w:w="1419"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2,1р.</w:t>
            </w:r>
          </w:p>
        </w:tc>
      </w:tr>
      <w:tr w:rsidR="005E6794" w:rsidTr="005E6794">
        <w:trPr>
          <w:trHeight w:val="454"/>
        </w:trPr>
        <w:tc>
          <w:tcPr>
            <w:tcW w:w="925" w:type="dxa"/>
            <w:tcBorders>
              <w:top w:val="nil"/>
              <w:left w:val="single" w:sz="4" w:space="0" w:color="000001"/>
              <w:bottom w:val="single" w:sz="4" w:space="0" w:color="000001"/>
              <w:right w:val="single" w:sz="4" w:space="0" w:color="000001"/>
            </w:tcBorders>
            <w:vAlign w:val="center"/>
            <w:hideMark/>
          </w:tcPr>
          <w:p w:rsidR="005E6794" w:rsidRDefault="005E6794">
            <w:pPr>
              <w:autoSpaceDE w:val="0"/>
              <w:autoSpaceDN w:val="0"/>
              <w:adjustRightInd w:val="0"/>
              <w:spacing w:line="276" w:lineRule="auto"/>
              <w:jc w:val="center"/>
              <w:rPr>
                <w:kern w:val="2"/>
                <w:sz w:val="28"/>
                <w:szCs w:val="28"/>
                <w:lang w:eastAsia="zh-CN" w:bidi="hi-IN"/>
              </w:rPr>
            </w:pPr>
            <w:r>
              <w:rPr>
                <w:kern w:val="2"/>
                <w:sz w:val="28"/>
                <w:szCs w:val="28"/>
                <w:lang w:eastAsia="zh-CN" w:bidi="hi-IN"/>
              </w:rPr>
              <w:t>4.</w:t>
            </w:r>
          </w:p>
        </w:tc>
        <w:tc>
          <w:tcPr>
            <w:tcW w:w="5599" w:type="dxa"/>
            <w:tcBorders>
              <w:top w:val="nil"/>
              <w:left w:val="nil"/>
              <w:bottom w:val="single" w:sz="4" w:space="0" w:color="000001"/>
              <w:right w:val="single" w:sz="4" w:space="0" w:color="000001"/>
            </w:tcBorders>
            <w:vAlign w:val="center"/>
            <w:hideMark/>
          </w:tcPr>
          <w:p w:rsidR="005E6794" w:rsidRDefault="005E6794">
            <w:pPr>
              <w:rPr>
                <w:sz w:val="28"/>
                <w:szCs w:val="28"/>
              </w:rPr>
            </w:pPr>
            <w:r>
              <w:rPr>
                <w:sz w:val="28"/>
                <w:szCs w:val="28"/>
              </w:rPr>
              <w:t xml:space="preserve"> ПрАТ «</w:t>
            </w:r>
            <w:proofErr w:type="spellStart"/>
            <w:r>
              <w:rPr>
                <w:sz w:val="28"/>
                <w:szCs w:val="28"/>
              </w:rPr>
              <w:t>Кредмаш</w:t>
            </w:r>
            <w:proofErr w:type="spellEnd"/>
            <w:r>
              <w:rPr>
                <w:sz w:val="28"/>
                <w:szCs w:val="28"/>
              </w:rPr>
              <w:t>»</w:t>
            </w:r>
          </w:p>
        </w:tc>
        <w:tc>
          <w:tcPr>
            <w:tcW w:w="1702"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6 365,5</w:t>
            </w:r>
          </w:p>
        </w:tc>
        <w:tc>
          <w:tcPr>
            <w:tcW w:w="1419"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33,1</w:t>
            </w:r>
          </w:p>
        </w:tc>
      </w:tr>
      <w:tr w:rsidR="005E6794" w:rsidTr="005E6794">
        <w:trPr>
          <w:trHeight w:val="454"/>
        </w:trPr>
        <w:tc>
          <w:tcPr>
            <w:tcW w:w="925" w:type="dxa"/>
            <w:tcBorders>
              <w:top w:val="nil"/>
              <w:left w:val="single" w:sz="4" w:space="0" w:color="000001"/>
              <w:bottom w:val="single" w:sz="4" w:space="0" w:color="000001"/>
              <w:right w:val="single" w:sz="4" w:space="0" w:color="000001"/>
            </w:tcBorders>
            <w:vAlign w:val="center"/>
            <w:hideMark/>
          </w:tcPr>
          <w:p w:rsidR="005E6794" w:rsidRDefault="005E6794">
            <w:pPr>
              <w:autoSpaceDE w:val="0"/>
              <w:autoSpaceDN w:val="0"/>
              <w:adjustRightInd w:val="0"/>
              <w:spacing w:line="276" w:lineRule="auto"/>
              <w:jc w:val="center"/>
              <w:rPr>
                <w:kern w:val="2"/>
                <w:sz w:val="28"/>
                <w:szCs w:val="28"/>
                <w:lang w:eastAsia="zh-CN" w:bidi="hi-IN"/>
              </w:rPr>
            </w:pPr>
            <w:r>
              <w:rPr>
                <w:kern w:val="2"/>
                <w:sz w:val="28"/>
                <w:szCs w:val="28"/>
                <w:lang w:eastAsia="zh-CN" w:bidi="hi-IN"/>
              </w:rPr>
              <w:t>5.</w:t>
            </w:r>
          </w:p>
        </w:tc>
        <w:tc>
          <w:tcPr>
            <w:tcW w:w="5599" w:type="dxa"/>
            <w:tcBorders>
              <w:top w:val="nil"/>
              <w:left w:val="nil"/>
              <w:bottom w:val="single" w:sz="4" w:space="0" w:color="000001"/>
              <w:right w:val="single" w:sz="4" w:space="0" w:color="000001"/>
            </w:tcBorders>
            <w:vAlign w:val="center"/>
            <w:hideMark/>
          </w:tcPr>
          <w:p w:rsidR="005E6794" w:rsidRDefault="005E6794">
            <w:pPr>
              <w:ind w:left="209" w:hanging="209"/>
              <w:rPr>
                <w:sz w:val="28"/>
                <w:szCs w:val="28"/>
              </w:rPr>
            </w:pPr>
            <w:r>
              <w:rPr>
                <w:sz w:val="28"/>
                <w:szCs w:val="28"/>
              </w:rPr>
              <w:t xml:space="preserve"> ПрАТ «АвтоКрАЗ»</w:t>
            </w:r>
          </w:p>
        </w:tc>
        <w:tc>
          <w:tcPr>
            <w:tcW w:w="1702"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4 455,1</w:t>
            </w:r>
          </w:p>
        </w:tc>
        <w:tc>
          <w:tcPr>
            <w:tcW w:w="1419"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30,2</w:t>
            </w:r>
          </w:p>
        </w:tc>
      </w:tr>
      <w:tr w:rsidR="005E6794" w:rsidTr="005E6794">
        <w:trPr>
          <w:trHeight w:val="454"/>
        </w:trPr>
        <w:tc>
          <w:tcPr>
            <w:tcW w:w="925" w:type="dxa"/>
            <w:tcBorders>
              <w:top w:val="nil"/>
              <w:left w:val="single" w:sz="4" w:space="0" w:color="000001"/>
              <w:bottom w:val="single" w:sz="4" w:space="0" w:color="000001"/>
              <w:right w:val="single" w:sz="4" w:space="0" w:color="000001"/>
            </w:tcBorders>
            <w:vAlign w:val="center"/>
            <w:hideMark/>
          </w:tcPr>
          <w:p w:rsidR="005E6794" w:rsidRDefault="005E6794">
            <w:pPr>
              <w:autoSpaceDE w:val="0"/>
              <w:autoSpaceDN w:val="0"/>
              <w:adjustRightInd w:val="0"/>
              <w:spacing w:line="276" w:lineRule="auto"/>
              <w:jc w:val="center"/>
              <w:rPr>
                <w:kern w:val="2"/>
                <w:sz w:val="28"/>
                <w:szCs w:val="28"/>
                <w:lang w:eastAsia="zh-CN" w:bidi="hi-IN"/>
              </w:rPr>
            </w:pPr>
            <w:r>
              <w:rPr>
                <w:kern w:val="2"/>
                <w:sz w:val="28"/>
                <w:szCs w:val="28"/>
                <w:lang w:eastAsia="zh-CN" w:bidi="hi-IN"/>
              </w:rPr>
              <w:t>6.</w:t>
            </w:r>
          </w:p>
        </w:tc>
        <w:tc>
          <w:tcPr>
            <w:tcW w:w="5599" w:type="dxa"/>
            <w:tcBorders>
              <w:top w:val="nil"/>
              <w:left w:val="nil"/>
              <w:bottom w:val="single" w:sz="4" w:space="0" w:color="000001"/>
              <w:right w:val="single" w:sz="4" w:space="0" w:color="000001"/>
            </w:tcBorders>
            <w:vAlign w:val="center"/>
            <w:hideMark/>
          </w:tcPr>
          <w:p w:rsidR="005E6794" w:rsidRDefault="005E6794">
            <w:pPr>
              <w:rPr>
                <w:sz w:val="28"/>
                <w:szCs w:val="28"/>
              </w:rPr>
            </w:pPr>
            <w:r>
              <w:rPr>
                <w:sz w:val="28"/>
                <w:szCs w:val="28"/>
              </w:rPr>
              <w:t xml:space="preserve"> ПрАТ ККФ «Рошен»</w:t>
            </w:r>
          </w:p>
        </w:tc>
        <w:tc>
          <w:tcPr>
            <w:tcW w:w="1702"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2 477,2</w:t>
            </w:r>
          </w:p>
        </w:tc>
        <w:tc>
          <w:tcPr>
            <w:tcW w:w="1419"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38,7</w:t>
            </w:r>
          </w:p>
        </w:tc>
      </w:tr>
      <w:tr w:rsidR="005E6794" w:rsidTr="005E6794">
        <w:trPr>
          <w:trHeight w:val="454"/>
        </w:trPr>
        <w:tc>
          <w:tcPr>
            <w:tcW w:w="925" w:type="dxa"/>
            <w:tcBorders>
              <w:top w:val="nil"/>
              <w:left w:val="single" w:sz="4" w:space="0" w:color="000001"/>
              <w:bottom w:val="single" w:sz="4" w:space="0" w:color="000001"/>
              <w:right w:val="single" w:sz="4" w:space="0" w:color="000001"/>
            </w:tcBorders>
            <w:vAlign w:val="center"/>
            <w:hideMark/>
          </w:tcPr>
          <w:p w:rsidR="005E6794" w:rsidRDefault="005E6794">
            <w:pPr>
              <w:autoSpaceDE w:val="0"/>
              <w:autoSpaceDN w:val="0"/>
              <w:adjustRightInd w:val="0"/>
              <w:spacing w:line="276" w:lineRule="auto"/>
              <w:jc w:val="center"/>
              <w:rPr>
                <w:kern w:val="2"/>
                <w:sz w:val="28"/>
                <w:szCs w:val="28"/>
                <w:lang w:eastAsia="zh-CN" w:bidi="hi-IN"/>
              </w:rPr>
            </w:pPr>
            <w:r>
              <w:rPr>
                <w:kern w:val="2"/>
                <w:sz w:val="28"/>
                <w:szCs w:val="28"/>
                <w:lang w:eastAsia="zh-CN" w:bidi="hi-IN"/>
              </w:rPr>
              <w:t>7.</w:t>
            </w:r>
          </w:p>
        </w:tc>
        <w:tc>
          <w:tcPr>
            <w:tcW w:w="5599" w:type="dxa"/>
            <w:tcBorders>
              <w:top w:val="nil"/>
              <w:left w:val="nil"/>
              <w:bottom w:val="single" w:sz="4" w:space="0" w:color="000001"/>
              <w:right w:val="single" w:sz="4" w:space="0" w:color="000001"/>
            </w:tcBorders>
            <w:vAlign w:val="center"/>
            <w:hideMark/>
          </w:tcPr>
          <w:p w:rsidR="005E6794" w:rsidRDefault="005E6794">
            <w:pPr>
              <w:rPr>
                <w:sz w:val="28"/>
                <w:szCs w:val="28"/>
              </w:rPr>
            </w:pPr>
            <w:r>
              <w:rPr>
                <w:sz w:val="28"/>
                <w:szCs w:val="28"/>
              </w:rPr>
              <w:t xml:space="preserve"> ПрАТ «КЗТВ»</w:t>
            </w:r>
          </w:p>
        </w:tc>
        <w:tc>
          <w:tcPr>
            <w:tcW w:w="1702"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2 417,6</w:t>
            </w:r>
          </w:p>
        </w:tc>
        <w:tc>
          <w:tcPr>
            <w:tcW w:w="1419"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38,7</w:t>
            </w:r>
          </w:p>
        </w:tc>
      </w:tr>
      <w:tr w:rsidR="005E6794" w:rsidTr="005E6794">
        <w:trPr>
          <w:trHeight w:val="454"/>
        </w:trPr>
        <w:tc>
          <w:tcPr>
            <w:tcW w:w="925" w:type="dxa"/>
            <w:tcBorders>
              <w:top w:val="nil"/>
              <w:left w:val="single" w:sz="4" w:space="0" w:color="000001"/>
              <w:bottom w:val="single" w:sz="4" w:space="0" w:color="000001"/>
              <w:right w:val="single" w:sz="4" w:space="0" w:color="000001"/>
            </w:tcBorders>
            <w:vAlign w:val="center"/>
            <w:hideMark/>
          </w:tcPr>
          <w:p w:rsidR="005E6794" w:rsidRDefault="005E6794">
            <w:pPr>
              <w:autoSpaceDE w:val="0"/>
              <w:autoSpaceDN w:val="0"/>
              <w:adjustRightInd w:val="0"/>
              <w:spacing w:line="276" w:lineRule="auto"/>
              <w:jc w:val="center"/>
              <w:rPr>
                <w:kern w:val="2"/>
                <w:sz w:val="28"/>
                <w:szCs w:val="28"/>
                <w:lang w:eastAsia="zh-CN" w:bidi="hi-IN"/>
              </w:rPr>
            </w:pPr>
            <w:r>
              <w:rPr>
                <w:kern w:val="2"/>
                <w:sz w:val="28"/>
                <w:szCs w:val="28"/>
                <w:lang w:eastAsia="zh-CN" w:bidi="hi-IN"/>
              </w:rPr>
              <w:t>8.</w:t>
            </w:r>
          </w:p>
        </w:tc>
        <w:tc>
          <w:tcPr>
            <w:tcW w:w="5599" w:type="dxa"/>
            <w:tcBorders>
              <w:top w:val="nil"/>
              <w:left w:val="nil"/>
              <w:bottom w:val="single" w:sz="4" w:space="0" w:color="000001"/>
              <w:right w:val="single" w:sz="4" w:space="0" w:color="000001"/>
            </w:tcBorders>
            <w:vAlign w:val="center"/>
            <w:hideMark/>
          </w:tcPr>
          <w:p w:rsidR="005E6794" w:rsidRDefault="005E6794">
            <w:pPr>
              <w:rPr>
                <w:sz w:val="28"/>
                <w:szCs w:val="28"/>
              </w:rPr>
            </w:pPr>
            <w:r>
              <w:rPr>
                <w:sz w:val="28"/>
                <w:szCs w:val="28"/>
              </w:rPr>
              <w:t xml:space="preserve"> ПрАТ «</w:t>
            </w:r>
            <w:proofErr w:type="spellStart"/>
            <w:r>
              <w:rPr>
                <w:sz w:val="28"/>
                <w:szCs w:val="28"/>
              </w:rPr>
              <w:t>КрКЗ</w:t>
            </w:r>
            <w:proofErr w:type="spellEnd"/>
            <w:r>
              <w:rPr>
                <w:sz w:val="28"/>
                <w:szCs w:val="28"/>
              </w:rPr>
              <w:t>»</w:t>
            </w:r>
          </w:p>
        </w:tc>
        <w:tc>
          <w:tcPr>
            <w:tcW w:w="1702"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1 799,6</w:t>
            </w:r>
          </w:p>
        </w:tc>
        <w:tc>
          <w:tcPr>
            <w:tcW w:w="1419"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19,7</w:t>
            </w:r>
          </w:p>
        </w:tc>
      </w:tr>
      <w:tr w:rsidR="005E6794" w:rsidTr="005E6794">
        <w:trPr>
          <w:trHeight w:val="454"/>
        </w:trPr>
        <w:tc>
          <w:tcPr>
            <w:tcW w:w="925" w:type="dxa"/>
            <w:tcBorders>
              <w:top w:val="nil"/>
              <w:left w:val="single" w:sz="4" w:space="0" w:color="000001"/>
              <w:bottom w:val="single" w:sz="4" w:space="0" w:color="000001"/>
              <w:right w:val="single" w:sz="4" w:space="0" w:color="000001"/>
            </w:tcBorders>
            <w:vAlign w:val="center"/>
            <w:hideMark/>
          </w:tcPr>
          <w:p w:rsidR="005E6794" w:rsidRDefault="005E6794">
            <w:pPr>
              <w:autoSpaceDE w:val="0"/>
              <w:autoSpaceDN w:val="0"/>
              <w:adjustRightInd w:val="0"/>
              <w:spacing w:line="276" w:lineRule="auto"/>
              <w:jc w:val="center"/>
              <w:rPr>
                <w:kern w:val="2"/>
                <w:sz w:val="28"/>
                <w:szCs w:val="28"/>
                <w:lang w:eastAsia="zh-CN" w:bidi="hi-IN"/>
              </w:rPr>
            </w:pPr>
            <w:r>
              <w:rPr>
                <w:kern w:val="2"/>
                <w:sz w:val="28"/>
                <w:szCs w:val="28"/>
                <w:lang w:eastAsia="zh-CN" w:bidi="hi-IN"/>
              </w:rPr>
              <w:t>9.</w:t>
            </w:r>
          </w:p>
        </w:tc>
        <w:tc>
          <w:tcPr>
            <w:tcW w:w="5599" w:type="dxa"/>
            <w:tcBorders>
              <w:top w:val="nil"/>
              <w:left w:val="nil"/>
              <w:bottom w:val="single" w:sz="4" w:space="0" w:color="000001"/>
              <w:right w:val="single" w:sz="4" w:space="0" w:color="000001"/>
            </w:tcBorders>
            <w:vAlign w:val="center"/>
            <w:hideMark/>
          </w:tcPr>
          <w:p w:rsidR="005E6794" w:rsidRDefault="005E6794">
            <w:pPr>
              <w:rPr>
                <w:sz w:val="28"/>
                <w:szCs w:val="28"/>
              </w:rPr>
            </w:pPr>
            <w:r>
              <w:rPr>
                <w:sz w:val="28"/>
                <w:szCs w:val="28"/>
              </w:rPr>
              <w:t xml:space="preserve"> ПАТ «Джей Ті Інтернешнл Україна»</w:t>
            </w:r>
          </w:p>
        </w:tc>
        <w:tc>
          <w:tcPr>
            <w:tcW w:w="1702"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4,0</w:t>
            </w:r>
          </w:p>
        </w:tc>
        <w:tc>
          <w:tcPr>
            <w:tcW w:w="1419" w:type="dxa"/>
            <w:tcBorders>
              <w:top w:val="nil"/>
              <w:left w:val="nil"/>
              <w:bottom w:val="single" w:sz="4" w:space="0" w:color="000001"/>
              <w:right w:val="single" w:sz="4" w:space="0" w:color="000001"/>
            </w:tcBorders>
            <w:vAlign w:val="bottom"/>
            <w:hideMark/>
          </w:tcPr>
          <w:p w:rsidR="005E6794" w:rsidRDefault="005E6794">
            <w:pPr>
              <w:jc w:val="right"/>
              <w:rPr>
                <w:sz w:val="28"/>
                <w:szCs w:val="28"/>
              </w:rPr>
            </w:pPr>
            <w:r>
              <w:rPr>
                <w:sz w:val="28"/>
                <w:szCs w:val="28"/>
              </w:rPr>
              <w:t>0,0</w:t>
            </w:r>
          </w:p>
        </w:tc>
      </w:tr>
    </w:tbl>
    <w:p w:rsidR="005E6794" w:rsidRDefault="005E6794" w:rsidP="005E6794">
      <w:pPr>
        <w:ind w:left="720"/>
        <w:contextualSpacing/>
        <w:jc w:val="both"/>
        <w:rPr>
          <w:spacing w:val="1"/>
          <w:sz w:val="28"/>
          <w:szCs w:val="28"/>
        </w:rPr>
      </w:pPr>
    </w:p>
    <w:p w:rsidR="005E6794" w:rsidRDefault="005E6794" w:rsidP="005E6794">
      <w:pPr>
        <w:ind w:firstLine="696"/>
        <w:jc w:val="both"/>
        <w:rPr>
          <w:sz w:val="28"/>
          <w:szCs w:val="28"/>
        </w:rPr>
      </w:pPr>
      <w:r>
        <w:rPr>
          <w:sz w:val="28"/>
          <w:szCs w:val="28"/>
        </w:rPr>
        <w:t xml:space="preserve">Станом на 01.07.2018  заборгованість по заробітній платі по активних підприємствах  міста  склала  1 069,9 тис. грн. (статистика). в </w:t>
      </w:r>
      <w:proofErr w:type="spellStart"/>
      <w:r>
        <w:rPr>
          <w:sz w:val="28"/>
          <w:szCs w:val="28"/>
        </w:rPr>
        <w:t>т.ч</w:t>
      </w:r>
      <w:proofErr w:type="spellEnd"/>
      <w:r>
        <w:rPr>
          <w:sz w:val="28"/>
          <w:szCs w:val="28"/>
        </w:rPr>
        <w:t xml:space="preserve">.:  ДВНЗ «Кременчуцький коледж транспортної інфраструктури» - 1 069,9 тис. грн. </w:t>
      </w:r>
    </w:p>
    <w:p w:rsidR="005E6794" w:rsidRDefault="005E6794" w:rsidP="005E6794">
      <w:pPr>
        <w:ind w:firstLine="696"/>
        <w:jc w:val="both"/>
        <w:rPr>
          <w:sz w:val="28"/>
          <w:szCs w:val="28"/>
        </w:rPr>
      </w:pPr>
    </w:p>
    <w:p w:rsidR="005E6794" w:rsidRDefault="005E6794" w:rsidP="005E6794">
      <w:pPr>
        <w:keepNext/>
        <w:jc w:val="center"/>
        <w:outlineLvl w:val="0"/>
        <w:rPr>
          <w:b/>
          <w:bCs/>
          <w:iCs/>
          <w:sz w:val="32"/>
          <w:szCs w:val="32"/>
        </w:rPr>
      </w:pPr>
      <w:r>
        <w:rPr>
          <w:b/>
          <w:bCs/>
          <w:iCs/>
          <w:sz w:val="32"/>
          <w:szCs w:val="32"/>
        </w:rPr>
        <w:t>Спеціальний фонд</w:t>
      </w:r>
    </w:p>
    <w:p w:rsidR="005E6794" w:rsidRDefault="005E6794" w:rsidP="005E6794"/>
    <w:p w:rsidR="005E6794" w:rsidRDefault="005E6794" w:rsidP="005E6794">
      <w:pPr>
        <w:autoSpaceDE w:val="0"/>
        <w:autoSpaceDN w:val="0"/>
        <w:adjustRightInd w:val="0"/>
        <w:spacing w:after="120"/>
        <w:ind w:firstLine="567"/>
        <w:jc w:val="both"/>
        <w:rPr>
          <w:kern w:val="2"/>
          <w:sz w:val="28"/>
          <w:szCs w:val="28"/>
        </w:rPr>
      </w:pPr>
      <w:r>
        <w:rPr>
          <w:b/>
          <w:kern w:val="2"/>
          <w:sz w:val="28"/>
          <w:szCs w:val="28"/>
        </w:rPr>
        <w:t>По</w:t>
      </w:r>
      <w:r>
        <w:rPr>
          <w:kern w:val="2"/>
          <w:sz w:val="28"/>
          <w:szCs w:val="28"/>
        </w:rPr>
        <w:t xml:space="preserve"> </w:t>
      </w:r>
      <w:r>
        <w:rPr>
          <w:b/>
          <w:kern w:val="2"/>
          <w:sz w:val="28"/>
          <w:szCs w:val="28"/>
        </w:rPr>
        <w:t xml:space="preserve">спеціальному фонду </w:t>
      </w:r>
      <w:r>
        <w:rPr>
          <w:kern w:val="2"/>
          <w:sz w:val="28"/>
          <w:szCs w:val="28"/>
        </w:rPr>
        <w:t>при затвердженому річному  плані  на 2018 рік (без офіційних трансфертів) – 53 444,318 тис. грн. фактично надійшло – 31 954,503  тис. грн., виконання до річного плану  склало  59,8%; по офіційних трансфертах  при річному плані 20 450,000 тис. грн. фактично надійшло 4 498,021 тис. грн. або 22,0%; в цілому  виконання до річного плану склало 49,3%.</w:t>
      </w:r>
    </w:p>
    <w:p w:rsidR="005E6794" w:rsidRDefault="005E6794" w:rsidP="005E6794">
      <w:pPr>
        <w:autoSpaceDE w:val="0"/>
        <w:autoSpaceDN w:val="0"/>
        <w:adjustRightInd w:val="0"/>
        <w:spacing w:after="120"/>
        <w:ind w:firstLine="567"/>
        <w:jc w:val="right"/>
        <w:rPr>
          <w:iCs/>
          <w:sz w:val="28"/>
          <w:szCs w:val="28"/>
        </w:rPr>
      </w:pPr>
      <w:r>
        <w:rPr>
          <w:noProof/>
          <w:sz w:val="20"/>
          <w:szCs w:val="20"/>
          <w:lang w:val="ru-RU" w:eastAsia="ru-RU"/>
        </w:rPr>
        <w:drawing>
          <wp:anchor distT="0" distB="0" distL="114300" distR="114300" simplePos="0" relativeHeight="251658240" behindDoc="0" locked="0" layoutInCell="1" allowOverlap="1" wp14:anchorId="3A6FFE32" wp14:editId="75778C64">
            <wp:simplePos x="0" y="0"/>
            <wp:positionH relativeFrom="column">
              <wp:posOffset>-189865</wp:posOffset>
            </wp:positionH>
            <wp:positionV relativeFrom="paragraph">
              <wp:posOffset>307975</wp:posOffset>
            </wp:positionV>
            <wp:extent cx="6062345" cy="4326890"/>
            <wp:effectExtent l="0" t="0" r="14605" b="16510"/>
            <wp:wrapSquare wrapText="bothSides"/>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Pr>
          <w:iCs/>
          <w:sz w:val="28"/>
          <w:szCs w:val="28"/>
        </w:rPr>
        <w:t>тис. грн.</w:t>
      </w:r>
    </w:p>
    <w:p w:rsidR="005E6794" w:rsidRDefault="005E6794" w:rsidP="005E6794">
      <w:pPr>
        <w:ind w:left="-360" w:firstLine="360"/>
        <w:jc w:val="both"/>
        <w:rPr>
          <w:iCs/>
          <w:sz w:val="28"/>
          <w:szCs w:val="28"/>
        </w:rPr>
      </w:pPr>
    </w:p>
    <w:p w:rsidR="005E6794" w:rsidRDefault="005E6794" w:rsidP="005E6794">
      <w:pPr>
        <w:ind w:firstLine="709"/>
        <w:jc w:val="both"/>
        <w:rPr>
          <w:sz w:val="28"/>
          <w:szCs w:val="28"/>
        </w:rPr>
      </w:pPr>
      <w:r>
        <w:rPr>
          <w:sz w:val="28"/>
          <w:szCs w:val="28"/>
        </w:rPr>
        <w:t>Виконання планових показників на звітну дату забезпечено по всіх джерелах спеціального фонду, крім надходження коштів від відчуження майна, що належить до комунальної власності, при плані 58,250 тис. грн. – надходження відсутні.</w:t>
      </w:r>
    </w:p>
    <w:p w:rsidR="005E6794" w:rsidRDefault="005E6794" w:rsidP="005E6794">
      <w:pPr>
        <w:ind w:firstLine="709"/>
        <w:jc w:val="both"/>
        <w:rPr>
          <w:sz w:val="28"/>
          <w:szCs w:val="28"/>
        </w:rPr>
      </w:pPr>
      <w:r>
        <w:rPr>
          <w:sz w:val="28"/>
          <w:szCs w:val="28"/>
        </w:rPr>
        <w:t>Вперше до спеціального фонду (бюджет розвитку) надійшли кошти</w:t>
      </w:r>
      <w:r>
        <w:t xml:space="preserve"> </w:t>
      </w:r>
      <w:r>
        <w:rPr>
          <w:sz w:val="28"/>
          <w:szCs w:val="28"/>
        </w:rPr>
        <w:t>від продажу прав на земельні ділянки несільськогосподарського призначення, що перебувають у державній або комунальній власності в сумі 339,278 тис. грн., які не планувались при формуванні міського бюджету.</w:t>
      </w:r>
    </w:p>
    <w:p w:rsidR="005E6794" w:rsidRDefault="005E6794" w:rsidP="005E6794">
      <w:pPr>
        <w:ind w:firstLine="709"/>
        <w:jc w:val="both"/>
        <w:rPr>
          <w:sz w:val="28"/>
          <w:szCs w:val="28"/>
        </w:rPr>
      </w:pPr>
      <w:r>
        <w:rPr>
          <w:sz w:val="28"/>
          <w:szCs w:val="28"/>
        </w:rPr>
        <w:t xml:space="preserve">Станом на 01.07.2018 в порівнянні з </w:t>
      </w:r>
      <w:proofErr w:type="spellStart"/>
      <w:r>
        <w:rPr>
          <w:sz w:val="28"/>
          <w:szCs w:val="28"/>
        </w:rPr>
        <w:t>в.п.м.р</w:t>
      </w:r>
      <w:proofErr w:type="spellEnd"/>
      <w:r>
        <w:rPr>
          <w:sz w:val="28"/>
          <w:szCs w:val="28"/>
        </w:rPr>
        <w:t xml:space="preserve">. надходження до спеціального фонду міського бюджету зросли на 2,4% або /+/ 761,828 тис. грн., в тому числі по: </w:t>
      </w:r>
    </w:p>
    <w:p w:rsidR="005E6794" w:rsidRDefault="005E6794" w:rsidP="005E6794">
      <w:pPr>
        <w:numPr>
          <w:ilvl w:val="0"/>
          <w:numId w:val="5"/>
        </w:numPr>
        <w:tabs>
          <w:tab w:val="left" w:pos="993"/>
        </w:tabs>
        <w:ind w:left="142" w:firstLine="567"/>
        <w:jc w:val="both"/>
        <w:rPr>
          <w:sz w:val="28"/>
          <w:szCs w:val="28"/>
        </w:rPr>
      </w:pPr>
      <w:r>
        <w:rPr>
          <w:sz w:val="28"/>
          <w:szCs w:val="28"/>
        </w:rPr>
        <w:t xml:space="preserve">від продажу землі  в 6,6 р. або  /+/ 407,831 тис. грн., </w:t>
      </w:r>
    </w:p>
    <w:p w:rsidR="005E6794" w:rsidRDefault="005E6794" w:rsidP="005E6794">
      <w:pPr>
        <w:numPr>
          <w:ilvl w:val="0"/>
          <w:numId w:val="5"/>
        </w:numPr>
        <w:tabs>
          <w:tab w:val="left" w:pos="993"/>
        </w:tabs>
        <w:ind w:left="142" w:firstLine="567"/>
        <w:jc w:val="both"/>
        <w:rPr>
          <w:sz w:val="28"/>
          <w:szCs w:val="28"/>
        </w:rPr>
      </w:pPr>
      <w:r>
        <w:rPr>
          <w:sz w:val="28"/>
          <w:szCs w:val="28"/>
        </w:rPr>
        <w:t xml:space="preserve">пайової участі у розвитку інфраструктури населеного пункту на 13,7% або  /+/320,155 тис. грн., </w:t>
      </w:r>
    </w:p>
    <w:p w:rsidR="005E6794" w:rsidRDefault="005E6794" w:rsidP="005E6794">
      <w:pPr>
        <w:numPr>
          <w:ilvl w:val="0"/>
          <w:numId w:val="5"/>
        </w:numPr>
        <w:tabs>
          <w:tab w:val="left" w:pos="993"/>
        </w:tabs>
        <w:ind w:left="142" w:firstLine="567"/>
        <w:jc w:val="both"/>
        <w:rPr>
          <w:sz w:val="28"/>
          <w:szCs w:val="28"/>
        </w:rPr>
      </w:pPr>
      <w:r>
        <w:rPr>
          <w:sz w:val="28"/>
          <w:szCs w:val="28"/>
        </w:rPr>
        <w:t>цільовому  фонду в 1,7 р. або /+/ 238,575 тис. грн. та по деяких інших.</w:t>
      </w:r>
    </w:p>
    <w:p w:rsidR="005E6794" w:rsidRDefault="005E6794" w:rsidP="005E6794">
      <w:pPr>
        <w:ind w:firstLine="709"/>
        <w:jc w:val="both"/>
        <w:rPr>
          <w:sz w:val="28"/>
          <w:szCs w:val="28"/>
        </w:rPr>
      </w:pPr>
      <w:r>
        <w:rPr>
          <w:sz w:val="28"/>
          <w:szCs w:val="28"/>
        </w:rPr>
        <w:t xml:space="preserve">В той же час зниження надходжень порівняно з </w:t>
      </w:r>
      <w:proofErr w:type="spellStart"/>
      <w:r>
        <w:rPr>
          <w:sz w:val="28"/>
          <w:szCs w:val="28"/>
        </w:rPr>
        <w:t>в.п.м.р</w:t>
      </w:r>
      <w:proofErr w:type="spellEnd"/>
      <w:r>
        <w:rPr>
          <w:sz w:val="28"/>
          <w:szCs w:val="28"/>
        </w:rPr>
        <w:t>. відбулося по:</w:t>
      </w:r>
    </w:p>
    <w:p w:rsidR="005E6794" w:rsidRDefault="005E6794" w:rsidP="005E6794">
      <w:pPr>
        <w:numPr>
          <w:ilvl w:val="0"/>
          <w:numId w:val="6"/>
        </w:numPr>
        <w:tabs>
          <w:tab w:val="left" w:pos="993"/>
        </w:tabs>
        <w:ind w:left="0" w:firstLine="709"/>
        <w:jc w:val="both"/>
        <w:rPr>
          <w:sz w:val="28"/>
          <w:szCs w:val="28"/>
        </w:rPr>
      </w:pPr>
      <w:r>
        <w:rPr>
          <w:sz w:val="28"/>
          <w:szCs w:val="28"/>
        </w:rPr>
        <w:t>екологічному  податку /-/ 51,897 тис. грн. або на 1,4%,</w:t>
      </w:r>
    </w:p>
    <w:p w:rsidR="005E6794" w:rsidRDefault="005E6794" w:rsidP="005E6794">
      <w:pPr>
        <w:numPr>
          <w:ilvl w:val="0"/>
          <w:numId w:val="6"/>
        </w:numPr>
        <w:tabs>
          <w:tab w:val="left" w:pos="993"/>
        </w:tabs>
        <w:ind w:left="0" w:firstLine="709"/>
        <w:jc w:val="both"/>
        <w:rPr>
          <w:sz w:val="28"/>
          <w:szCs w:val="28"/>
        </w:rPr>
      </w:pPr>
      <w:r>
        <w:rPr>
          <w:sz w:val="28"/>
          <w:szCs w:val="28"/>
        </w:rPr>
        <w:t xml:space="preserve">власних надходженнях бюджетних установ  /-/  226,936 тис. грн. або на 0,9%. </w:t>
      </w:r>
    </w:p>
    <w:p w:rsidR="005E6794" w:rsidRDefault="005E6794" w:rsidP="005E6794">
      <w:pPr>
        <w:ind w:firstLine="709"/>
        <w:jc w:val="both"/>
        <w:rPr>
          <w:sz w:val="28"/>
          <w:szCs w:val="28"/>
        </w:rPr>
      </w:pPr>
      <w:r>
        <w:rPr>
          <w:sz w:val="28"/>
          <w:szCs w:val="28"/>
        </w:rPr>
        <w:t>В місті постійно проводяться відповідні заходи щодо наповнення доходної частини міського бюджету.</w:t>
      </w:r>
    </w:p>
    <w:p w:rsidR="005E6794" w:rsidRDefault="005E6794" w:rsidP="005E6794">
      <w:pPr>
        <w:ind w:firstLine="709"/>
        <w:jc w:val="both"/>
        <w:rPr>
          <w:sz w:val="28"/>
          <w:szCs w:val="28"/>
        </w:rPr>
      </w:pPr>
      <w:r>
        <w:rPr>
          <w:sz w:val="28"/>
          <w:szCs w:val="28"/>
        </w:rPr>
        <w:t>Станом на 01.07.2018  проведено 2 засідання  міської тимчасової комісії з питань погашення заборгованості із заробітної плати (грошового забезпечення), пенсій, стипендій та інших соціальних виплат, на яких заслухано 2 керівників підприємств.</w:t>
      </w:r>
    </w:p>
    <w:p w:rsidR="005E6794" w:rsidRDefault="005E6794" w:rsidP="005E6794">
      <w:pPr>
        <w:ind w:firstLine="720"/>
        <w:jc w:val="both"/>
        <w:rPr>
          <w:sz w:val="28"/>
        </w:rPr>
      </w:pPr>
      <w:r>
        <w:rPr>
          <w:sz w:val="28"/>
          <w:szCs w:val="28"/>
        </w:rPr>
        <w:t>За інформацією КОДПІ ГУ ДФС у Полтавській області</w:t>
      </w:r>
      <w:r>
        <w:rPr>
          <w:sz w:val="28"/>
        </w:rPr>
        <w:t xml:space="preserve">  станом на 01.07.2018 членами групи по легалізації виплати заробітної плати та зайнятості населення м. Кременчука проведено 21 спільний рейд та  перевірено 447 суб’єктів господарювання. Встановлено порушення у 82 суб’єктів господарювання, виявлено 120 неоформлених найманих працівників,                      8 громадян здійснювали діяльність без державної реєстрації.</w:t>
      </w:r>
    </w:p>
    <w:p w:rsidR="005E6794" w:rsidRDefault="005E6794" w:rsidP="005E6794">
      <w:pPr>
        <w:ind w:firstLine="720"/>
        <w:jc w:val="both"/>
        <w:rPr>
          <w:sz w:val="28"/>
        </w:rPr>
      </w:pPr>
      <w:r>
        <w:rPr>
          <w:sz w:val="28"/>
        </w:rPr>
        <w:t>Оформлено трудові відносини та укладено трудові договори з</w:t>
      </w:r>
      <w:r>
        <w:t xml:space="preserve"> </w:t>
      </w:r>
      <w:r>
        <w:rPr>
          <w:sz w:val="28"/>
        </w:rPr>
        <w:t>88 найманими працівниками, у результаті чого сплачено податку на доходи фізичних осіб в сумі 59,0 тис. грн., єдиного соціального внеску                                    72,1 тис. грн.,</w:t>
      </w:r>
      <w:r>
        <w:rPr>
          <w:sz w:val="28"/>
          <w:lang w:val="en-US"/>
        </w:rPr>
        <w:t> </w:t>
      </w:r>
      <w:r>
        <w:rPr>
          <w:sz w:val="28"/>
        </w:rPr>
        <w:t xml:space="preserve">військового збору – 4,9 тис. грн.; 6 працівників та 2 громадянина зареєструвалися як приватні підприємці, </w:t>
      </w:r>
      <w:bookmarkStart w:id="0" w:name="__DdeLink__35309_1161676357"/>
      <w:bookmarkEnd w:id="0"/>
      <w:r>
        <w:rPr>
          <w:sz w:val="28"/>
        </w:rPr>
        <w:t>внаслідок чого сплачено єдиного податку в сумі  3,0 тис. грн.</w:t>
      </w:r>
    </w:p>
    <w:p w:rsidR="005E6794" w:rsidRDefault="005E6794" w:rsidP="005E6794">
      <w:pPr>
        <w:ind w:firstLine="720"/>
        <w:jc w:val="both"/>
        <w:rPr>
          <w:sz w:val="28"/>
        </w:rPr>
      </w:pPr>
      <w:r>
        <w:rPr>
          <w:sz w:val="28"/>
        </w:rPr>
        <w:t xml:space="preserve">За результатами проведених спільних рейдів з питань легалізації виплати заробітної плати та зайнятості населення при виконавчому комітеті Кременчуцької міської ради Полтавської області проведено 6 засідань, на яких заслухано 112 суб'єктів господарювання. </w:t>
      </w:r>
    </w:p>
    <w:p w:rsidR="005E6794" w:rsidRDefault="005E6794" w:rsidP="005E6794">
      <w:pPr>
        <w:ind w:firstLine="708"/>
        <w:jc w:val="both"/>
        <w:rPr>
          <w:sz w:val="28"/>
        </w:rPr>
      </w:pPr>
      <w:r>
        <w:rPr>
          <w:sz w:val="28"/>
        </w:rPr>
        <w:t xml:space="preserve">До  Управління </w:t>
      </w:r>
      <w:proofErr w:type="spellStart"/>
      <w:r>
        <w:rPr>
          <w:sz w:val="28"/>
        </w:rPr>
        <w:t>Держпраці</w:t>
      </w:r>
      <w:proofErr w:type="spellEnd"/>
      <w:r>
        <w:rPr>
          <w:sz w:val="28"/>
        </w:rPr>
        <w:t xml:space="preserve"> у Полтавській області передано інформацію по 9 ФОП та 4 юридичним особам для вжиття відповідних заходів реагування з питання використання праці неоформлених найманих працівників.</w:t>
      </w:r>
    </w:p>
    <w:p w:rsidR="005E6794" w:rsidRDefault="005E6794" w:rsidP="005E6794">
      <w:pPr>
        <w:autoSpaceDE w:val="0"/>
        <w:autoSpaceDN w:val="0"/>
        <w:adjustRightInd w:val="0"/>
        <w:ind w:firstLine="705"/>
        <w:jc w:val="both"/>
        <w:rPr>
          <w:sz w:val="28"/>
          <w:szCs w:val="28"/>
        </w:rPr>
      </w:pPr>
      <w:r>
        <w:rPr>
          <w:sz w:val="28"/>
          <w:szCs w:val="28"/>
        </w:rPr>
        <w:lastRenderedPageBreak/>
        <w:t>З метою повної та своєчасної сплати земельного податку  у січні - червні           2018 року Кременчуцькою ОДПІ ГУ ДФС у Полтавській області проводилась роз’яснювальна робота у ЗМІ, підготовлено 20 інформаційних матеріалів з зазначеної тематики. Висвітлено 19 повідомлень – на радіо, 8 – у пресі та 32 -  в інтернет - виданнях та на сайтах органів влади.</w:t>
      </w:r>
    </w:p>
    <w:p w:rsidR="005E6794" w:rsidRDefault="005E6794" w:rsidP="005E6794">
      <w:pPr>
        <w:autoSpaceDE w:val="0"/>
        <w:autoSpaceDN w:val="0"/>
        <w:adjustRightInd w:val="0"/>
        <w:ind w:firstLine="705"/>
        <w:jc w:val="both"/>
        <w:rPr>
          <w:sz w:val="28"/>
          <w:szCs w:val="28"/>
        </w:rPr>
      </w:pPr>
      <w:r>
        <w:rPr>
          <w:sz w:val="28"/>
          <w:szCs w:val="28"/>
        </w:rPr>
        <w:t xml:space="preserve">Для недопущення збиткової діяльності та залучення збиткових платників до оподаткування протягом січня - червня 2018 року під час робочих зустрічей з посадовими особами підприємств м. Кременчука проводилася роз’яснювальна робота </w:t>
      </w:r>
      <w:proofErr w:type="spellStart"/>
      <w:r>
        <w:rPr>
          <w:sz w:val="28"/>
          <w:szCs w:val="28"/>
        </w:rPr>
        <w:t>упереджувального</w:t>
      </w:r>
      <w:proofErr w:type="spellEnd"/>
      <w:r>
        <w:rPr>
          <w:sz w:val="28"/>
          <w:szCs w:val="28"/>
        </w:rPr>
        <w:t xml:space="preserve"> характеру з метою недопущення декларування збитків, рівності доходів і витрат. </w:t>
      </w:r>
    </w:p>
    <w:p w:rsidR="005E6794" w:rsidRDefault="005E6794" w:rsidP="005E6794">
      <w:pPr>
        <w:autoSpaceDE w:val="0"/>
        <w:autoSpaceDN w:val="0"/>
        <w:adjustRightInd w:val="0"/>
        <w:ind w:firstLine="705"/>
        <w:jc w:val="both"/>
        <w:rPr>
          <w:sz w:val="28"/>
          <w:szCs w:val="28"/>
        </w:rPr>
      </w:pPr>
      <w:r>
        <w:rPr>
          <w:sz w:val="28"/>
          <w:szCs w:val="28"/>
        </w:rPr>
        <w:t>За результатами проведеної перевірки у квітні  та червні 2018 року                   КП «Благоустрій Кременчука» додатково до бюджету міста сплачено                                        428,7 тис. грн. податку на прибуток.</w:t>
      </w:r>
    </w:p>
    <w:p w:rsidR="005E6794" w:rsidRDefault="005E6794" w:rsidP="005E6794">
      <w:pPr>
        <w:autoSpaceDE w:val="0"/>
        <w:autoSpaceDN w:val="0"/>
        <w:adjustRightInd w:val="0"/>
        <w:ind w:firstLine="705"/>
        <w:jc w:val="both"/>
        <w:rPr>
          <w:sz w:val="28"/>
          <w:szCs w:val="28"/>
        </w:rPr>
      </w:pPr>
      <w:r>
        <w:rPr>
          <w:sz w:val="28"/>
          <w:szCs w:val="28"/>
        </w:rPr>
        <w:t>З метою забезпечення повноти декларування та сплати акцизного податку з роздрібного продажу підакцизних товарів (алкогольні напої, пиво, тютюнові вироби) з початку року забезпечено:</w:t>
      </w:r>
    </w:p>
    <w:p w:rsidR="005E6794" w:rsidRDefault="005E6794" w:rsidP="005E6794">
      <w:pPr>
        <w:autoSpaceDE w:val="0"/>
        <w:autoSpaceDN w:val="0"/>
        <w:adjustRightInd w:val="0"/>
        <w:ind w:firstLine="705"/>
        <w:jc w:val="both"/>
        <w:rPr>
          <w:sz w:val="28"/>
          <w:szCs w:val="28"/>
        </w:rPr>
      </w:pPr>
      <w:r>
        <w:rPr>
          <w:sz w:val="28"/>
          <w:szCs w:val="28"/>
        </w:rPr>
        <w:t>- проведення співбесід з платниками, як особисто, так і в телефонному режимі;</w:t>
      </w:r>
    </w:p>
    <w:p w:rsidR="005E6794" w:rsidRDefault="005E6794" w:rsidP="005E6794">
      <w:pPr>
        <w:autoSpaceDE w:val="0"/>
        <w:autoSpaceDN w:val="0"/>
        <w:adjustRightInd w:val="0"/>
        <w:ind w:firstLine="705"/>
        <w:jc w:val="both"/>
        <w:rPr>
          <w:sz w:val="28"/>
          <w:szCs w:val="28"/>
        </w:rPr>
      </w:pPr>
      <w:r>
        <w:rPr>
          <w:sz w:val="28"/>
          <w:szCs w:val="28"/>
        </w:rPr>
        <w:t>- проведення звірки платників, які подали декларації акцизного податку, з  базою даних діючих ліцензій на роздрібну торгівлю алкогольними напоями та тютюновими виробами;</w:t>
      </w:r>
    </w:p>
    <w:p w:rsidR="005E6794" w:rsidRDefault="005E6794" w:rsidP="005E6794">
      <w:pPr>
        <w:autoSpaceDE w:val="0"/>
        <w:autoSpaceDN w:val="0"/>
        <w:adjustRightInd w:val="0"/>
        <w:ind w:firstLine="705"/>
        <w:jc w:val="both"/>
        <w:rPr>
          <w:sz w:val="28"/>
          <w:szCs w:val="28"/>
        </w:rPr>
      </w:pPr>
      <w:r>
        <w:rPr>
          <w:sz w:val="28"/>
          <w:szCs w:val="28"/>
        </w:rPr>
        <w:t>- подання декларацій акцизного податку всіма без винятку суб’єктами господарювання, які мають ліцензії на право роздрібної торгівлі алкогольними напоями та тютюновими виробами.</w:t>
      </w:r>
    </w:p>
    <w:p w:rsidR="005E6794" w:rsidRDefault="005E6794" w:rsidP="005E6794">
      <w:pPr>
        <w:autoSpaceDE w:val="0"/>
        <w:autoSpaceDN w:val="0"/>
        <w:adjustRightInd w:val="0"/>
        <w:ind w:firstLine="705"/>
        <w:jc w:val="both"/>
        <w:rPr>
          <w:color w:val="FF0000"/>
          <w:sz w:val="28"/>
          <w:szCs w:val="28"/>
        </w:rPr>
      </w:pPr>
    </w:p>
    <w:p w:rsidR="005E6794" w:rsidRDefault="005E6794" w:rsidP="005E6794">
      <w:pPr>
        <w:autoSpaceDE w:val="0"/>
        <w:autoSpaceDN w:val="0"/>
        <w:adjustRightInd w:val="0"/>
        <w:ind w:firstLine="720"/>
        <w:jc w:val="both"/>
        <w:rPr>
          <w:kern w:val="2"/>
          <w:sz w:val="28"/>
        </w:rPr>
      </w:pPr>
      <w:r>
        <w:rPr>
          <w:kern w:val="2"/>
          <w:sz w:val="28"/>
        </w:rPr>
        <w:t>З початку року підготовлено ряд інформаційних матеріалів щодо надходжень до місцевого бюджету від власників нерухомості та проінформовано про умови сплати податку платниками – фізичними особами.</w:t>
      </w:r>
    </w:p>
    <w:p w:rsidR="005E6794" w:rsidRDefault="005E6794" w:rsidP="005E6794">
      <w:pPr>
        <w:autoSpaceDE w:val="0"/>
        <w:autoSpaceDN w:val="0"/>
        <w:adjustRightInd w:val="0"/>
        <w:ind w:firstLine="720"/>
        <w:jc w:val="both"/>
        <w:rPr>
          <w:kern w:val="2"/>
          <w:sz w:val="28"/>
        </w:rPr>
      </w:pPr>
      <w:r>
        <w:rPr>
          <w:kern w:val="2"/>
          <w:sz w:val="28"/>
        </w:rPr>
        <w:t xml:space="preserve">З метою доведення до платників актуальної інформації з питань застосування податкового законодавства щодо нарахування та сплати податку на нерухоме майно та транспортного податку з початку року підготовлено                     15 інформаційних матеріалів «Новації в нарахуванні та сплаті податку на нерухоме майно, відмінне від земельної ділянки», а також 1 матеріал </w:t>
      </w:r>
      <w:r>
        <w:rPr>
          <w:kern w:val="2"/>
          <w:sz w:val="28"/>
          <w:szCs w:val="28"/>
          <w:lang w:eastAsia="zh-CN" w:bidi="hi-IN"/>
        </w:rPr>
        <w:t>щодо транспортного податку</w:t>
      </w:r>
      <w:r>
        <w:rPr>
          <w:kern w:val="2"/>
          <w:sz w:val="28"/>
        </w:rPr>
        <w:t>.</w:t>
      </w:r>
    </w:p>
    <w:p w:rsidR="005E6794" w:rsidRDefault="005E6794" w:rsidP="005E6794">
      <w:pPr>
        <w:autoSpaceDE w:val="0"/>
        <w:autoSpaceDN w:val="0"/>
        <w:adjustRightInd w:val="0"/>
        <w:ind w:firstLine="720"/>
        <w:jc w:val="both"/>
        <w:rPr>
          <w:kern w:val="2"/>
          <w:sz w:val="28"/>
        </w:rPr>
      </w:pPr>
      <w:r>
        <w:rPr>
          <w:kern w:val="2"/>
          <w:sz w:val="28"/>
        </w:rPr>
        <w:t xml:space="preserve">Розміщено 39 матеріалів у ЗМІ, в тому числі: висвітлено на радіо – 18 повідомлень, в інтернет-виданнях –7, на сайтах органів влади – 14.   </w:t>
      </w:r>
    </w:p>
    <w:p w:rsidR="005E6794" w:rsidRDefault="005E6794" w:rsidP="005E6794">
      <w:pPr>
        <w:autoSpaceDE w:val="0"/>
        <w:autoSpaceDN w:val="0"/>
        <w:adjustRightInd w:val="0"/>
        <w:ind w:firstLine="720"/>
        <w:jc w:val="both"/>
        <w:rPr>
          <w:kern w:val="2"/>
          <w:sz w:val="28"/>
        </w:rPr>
      </w:pPr>
      <w:r>
        <w:rPr>
          <w:kern w:val="2"/>
          <w:sz w:val="28"/>
        </w:rPr>
        <w:t xml:space="preserve">В рамках проведення </w:t>
      </w:r>
      <w:proofErr w:type="spellStart"/>
      <w:r>
        <w:rPr>
          <w:kern w:val="2"/>
          <w:sz w:val="28"/>
        </w:rPr>
        <w:t>роз’яснювально</w:t>
      </w:r>
      <w:proofErr w:type="spellEnd"/>
      <w:r>
        <w:rPr>
          <w:kern w:val="2"/>
          <w:sz w:val="28"/>
        </w:rPr>
        <w:t xml:space="preserve"> - агітаційної роботи Кременчуцькою ОДПІ ГУ ДФС у Полтавській області обрано новий креативний спосіб донесення до місцевих жителів інформації про сплату «майнових податків» – оформлено «тематичний» тролейбус, на якому розміщені наглядні матеріали </w:t>
      </w:r>
      <w:r>
        <w:rPr>
          <w:kern w:val="2"/>
          <w:sz w:val="28"/>
          <w:szCs w:val="28"/>
        </w:rPr>
        <w:t>щодо сплати транспортного податку та податку на нерухоме майно, зокрема міститься заклик: «</w:t>
      </w:r>
      <w:proofErr w:type="spellStart"/>
      <w:r>
        <w:rPr>
          <w:kern w:val="2"/>
          <w:sz w:val="28"/>
          <w:szCs w:val="28"/>
        </w:rPr>
        <w:t>Перевір</w:t>
      </w:r>
      <w:proofErr w:type="spellEnd"/>
      <w:r>
        <w:rPr>
          <w:kern w:val="2"/>
          <w:sz w:val="28"/>
          <w:szCs w:val="28"/>
        </w:rPr>
        <w:t xml:space="preserve"> себе у списках платника податку на нерухомість».  </w:t>
      </w:r>
    </w:p>
    <w:p w:rsidR="005E6794" w:rsidRDefault="005E6794" w:rsidP="005E6794">
      <w:pPr>
        <w:autoSpaceDE w:val="0"/>
        <w:autoSpaceDN w:val="0"/>
        <w:adjustRightInd w:val="0"/>
        <w:ind w:firstLine="720"/>
        <w:jc w:val="both"/>
        <w:rPr>
          <w:kern w:val="2"/>
          <w:sz w:val="28"/>
          <w:szCs w:val="28"/>
        </w:rPr>
      </w:pPr>
      <w:r>
        <w:rPr>
          <w:kern w:val="2"/>
          <w:sz w:val="28"/>
          <w:szCs w:val="28"/>
        </w:rPr>
        <w:t>Також, завдяки співпраці з КП «НВФ «ВАС», в квитанціях на оплату комунальних послуг друкується заклик - запрошення перевірити себе у списках платників податку на нерухомість.</w:t>
      </w:r>
    </w:p>
    <w:p w:rsidR="005E6794" w:rsidRDefault="005E6794" w:rsidP="005E6794">
      <w:pPr>
        <w:autoSpaceDE w:val="0"/>
        <w:autoSpaceDN w:val="0"/>
        <w:adjustRightInd w:val="0"/>
        <w:ind w:firstLine="720"/>
        <w:jc w:val="both"/>
        <w:rPr>
          <w:kern w:val="2"/>
          <w:sz w:val="28"/>
          <w:szCs w:val="28"/>
        </w:rPr>
      </w:pPr>
      <w:r>
        <w:rPr>
          <w:kern w:val="2"/>
          <w:sz w:val="28"/>
          <w:szCs w:val="28"/>
        </w:rPr>
        <w:lastRenderedPageBreak/>
        <w:t xml:space="preserve">Станом на 01.01.2018 до міського бюджету м. Кременчука рахувалось податкового боргу  без врахування банкрутів  – 18 874,8 тис. грн. (уточнений), станом на 01.07.2018  </w:t>
      </w:r>
      <w:r>
        <w:rPr>
          <w:kern w:val="2"/>
          <w:sz w:val="28"/>
        </w:rPr>
        <w:t>–</w:t>
      </w:r>
      <w:r>
        <w:rPr>
          <w:kern w:val="2"/>
          <w:sz w:val="28"/>
          <w:szCs w:val="28"/>
        </w:rPr>
        <w:t xml:space="preserve"> </w:t>
      </w:r>
      <w:r>
        <w:rPr>
          <w:kern w:val="2"/>
          <w:sz w:val="28"/>
          <w:szCs w:val="28"/>
          <w:lang w:eastAsia="zh-CN" w:bidi="hi-IN"/>
        </w:rPr>
        <w:t xml:space="preserve">16 799,4 </w:t>
      </w:r>
      <w:r>
        <w:rPr>
          <w:kern w:val="2"/>
          <w:sz w:val="28"/>
          <w:szCs w:val="28"/>
        </w:rPr>
        <w:t>тис. грн. або сума боргу зменшилась на 11,0%  /-/2 075,4 тис. грн.</w:t>
      </w:r>
    </w:p>
    <w:p w:rsidR="005E6794" w:rsidRDefault="005E6794" w:rsidP="005E6794">
      <w:pPr>
        <w:autoSpaceDE w:val="0"/>
        <w:autoSpaceDN w:val="0"/>
        <w:adjustRightInd w:val="0"/>
        <w:ind w:firstLine="720"/>
        <w:jc w:val="both"/>
        <w:rPr>
          <w:kern w:val="2"/>
          <w:sz w:val="28"/>
          <w:szCs w:val="28"/>
        </w:rPr>
      </w:pPr>
      <w:r>
        <w:rPr>
          <w:kern w:val="2"/>
          <w:sz w:val="28"/>
          <w:szCs w:val="28"/>
        </w:rPr>
        <w:t>Протягом січня - червня 2018 року до суду направлено 17 позовних заяв щодо стягнення боргу на суму – 789,7 тис. грн.</w:t>
      </w:r>
    </w:p>
    <w:p w:rsidR="005E6794" w:rsidRDefault="005E6794" w:rsidP="005E6794">
      <w:pPr>
        <w:jc w:val="center"/>
        <w:rPr>
          <w:b/>
          <w:bCs/>
          <w:sz w:val="28"/>
          <w:szCs w:val="28"/>
        </w:rPr>
      </w:pPr>
    </w:p>
    <w:p w:rsidR="005E6794" w:rsidRDefault="005E6794" w:rsidP="005E6794">
      <w:pPr>
        <w:jc w:val="center"/>
        <w:rPr>
          <w:b/>
          <w:bCs/>
          <w:sz w:val="28"/>
          <w:szCs w:val="28"/>
        </w:rPr>
      </w:pPr>
      <w:r>
        <w:rPr>
          <w:b/>
          <w:bCs/>
          <w:sz w:val="28"/>
          <w:szCs w:val="28"/>
        </w:rPr>
        <w:t>ВИДАТКИ</w:t>
      </w:r>
    </w:p>
    <w:p w:rsidR="005E6794" w:rsidRDefault="005E6794" w:rsidP="005E6794">
      <w:pPr>
        <w:tabs>
          <w:tab w:val="left" w:pos="709"/>
        </w:tabs>
        <w:jc w:val="center"/>
        <w:rPr>
          <w:b/>
          <w:bCs/>
          <w:sz w:val="28"/>
          <w:szCs w:val="28"/>
        </w:rPr>
      </w:pP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Видатки міського бюджету міста на 2018 рік були затверджені в обсязі              2 752 009,0 тис. грн. а саме:</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xml:space="preserve">- видатки загального фонду міського бюджету – 2 365 205,2 тис. грн., у тому числі субвенції з державного бюджету та обласного бюджету  –                            1 235 451,8 тис. грн. (в </w:t>
      </w:r>
      <w:proofErr w:type="spellStart"/>
      <w:r>
        <w:rPr>
          <w:sz w:val="28"/>
          <w:szCs w:val="28"/>
        </w:rPr>
        <w:t>т.ч</w:t>
      </w:r>
      <w:proofErr w:type="spellEnd"/>
      <w:r>
        <w:rPr>
          <w:sz w:val="28"/>
          <w:szCs w:val="28"/>
        </w:rPr>
        <w:t>. освітня – 202 727,9 тис. грн., медична  –                                 178 806,6 тис. грн., інші – 853 917,3 тис. грн.);</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xml:space="preserve">- видатки спеціального фонду міського бюджету – 386 803,7 тис. грн., у тому числі видатки, кошти на які передаються із загального фонду до бюджету розвитку – 336 219,5 тис. грн. </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Видатки на кредитування по спеціальному фонду передбачені в сумі 4 378,3 тис. грн.</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Відповідно до Бюджетного кодексу України здійснено горизонтальне вирівнювання податкоспроможності міського бюджету. Враховуючи вищезазначене визначена реверсна дотація до Державного бюджету у сумі               54 973,8 тис. грн.</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xml:space="preserve">Протягом І півріччя поточного року видатки загального фонду  були збільшені на 20 454,9 тис. грн., в </w:t>
      </w:r>
      <w:proofErr w:type="spellStart"/>
      <w:r>
        <w:rPr>
          <w:sz w:val="28"/>
          <w:szCs w:val="28"/>
        </w:rPr>
        <w:t>т.ч</w:t>
      </w:r>
      <w:proofErr w:type="spellEnd"/>
      <w:r>
        <w:rPr>
          <w:sz w:val="28"/>
          <w:szCs w:val="28"/>
        </w:rPr>
        <w:t>.:</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xml:space="preserve">- за рахунок виділення коштів із залишків бюджетних коштів станом на 01.01.2018 – 16 492,8 тис. грн., </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внесення змін до доходів бюджету – 654,1 тис. грн.,</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xml:space="preserve">- виділення трансфертів з державного бюджету  – 3 330,7  </w:t>
      </w:r>
      <w:proofErr w:type="spellStart"/>
      <w:r>
        <w:rPr>
          <w:sz w:val="28"/>
          <w:szCs w:val="28"/>
        </w:rPr>
        <w:t>тис.грн</w:t>
      </w:r>
      <w:proofErr w:type="spellEnd"/>
      <w:r>
        <w:rPr>
          <w:sz w:val="28"/>
          <w:szCs w:val="28"/>
        </w:rPr>
        <w:t>.,</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за рахунок зменшення передачі із загального до спеціального фонду –                           22,7  тис. грн.</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xml:space="preserve">Затверджені видатки спеціального фонду були збільшені на                        78 949,00 тис. грн., в </w:t>
      </w:r>
      <w:proofErr w:type="spellStart"/>
      <w:r>
        <w:rPr>
          <w:sz w:val="28"/>
          <w:szCs w:val="28"/>
        </w:rPr>
        <w:t>т.ч</w:t>
      </w:r>
      <w:proofErr w:type="spellEnd"/>
      <w:r>
        <w:rPr>
          <w:sz w:val="28"/>
          <w:szCs w:val="28"/>
        </w:rPr>
        <w:t>.:</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xml:space="preserve">- за рахунок виділення коштів із залишків бюджетних коштів станом на 01.01.2018 – 55 024,8 тис. грн., </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за рахунок виділення трансфертів з державного бюджету  –                         23 901,5  тис. грн.,</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за рахунок передачі із загального до спеціального фонду –                            22,7  тис. грн.</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xml:space="preserve">Кошторисні призначення бюджетних установ також були збільшені і за рахунок збільшення власних надходжень бюджетних установ спеціального фонду. </w:t>
      </w:r>
    </w:p>
    <w:p w:rsidR="005E6794" w:rsidRDefault="005E6794" w:rsidP="005E6794">
      <w:pPr>
        <w:widowControl w:val="0"/>
        <w:tabs>
          <w:tab w:val="left" w:pos="1440"/>
        </w:tabs>
        <w:suppressAutoHyphens/>
        <w:ind w:firstLine="709"/>
        <w:jc w:val="both"/>
        <w:rPr>
          <w:sz w:val="28"/>
          <w:szCs w:val="28"/>
        </w:rPr>
      </w:pPr>
      <w:r>
        <w:rPr>
          <w:sz w:val="28"/>
          <w:szCs w:val="28"/>
        </w:rPr>
        <w:t>Таким чином, затверджені видатки міського бюджету міста Кременчука на 2018 рік з урахуванням внесених змін складають 2 859 018,8 тис. грн., в тому числі:</w:t>
      </w:r>
    </w:p>
    <w:p w:rsidR="005E6794" w:rsidRDefault="005E6794" w:rsidP="005E6794">
      <w:pPr>
        <w:widowControl w:val="0"/>
        <w:tabs>
          <w:tab w:val="num" w:pos="1260"/>
        </w:tabs>
        <w:suppressAutoHyphens/>
        <w:ind w:firstLine="709"/>
        <w:jc w:val="both"/>
        <w:rPr>
          <w:sz w:val="28"/>
          <w:szCs w:val="28"/>
        </w:rPr>
      </w:pPr>
      <w:r>
        <w:rPr>
          <w:sz w:val="28"/>
          <w:szCs w:val="28"/>
        </w:rPr>
        <w:lastRenderedPageBreak/>
        <w:t xml:space="preserve">- видатки загального фонду міського бюджету затверджені в сумі 2 385 660,1 тис. грн. </w:t>
      </w:r>
    </w:p>
    <w:p w:rsidR="005E6794" w:rsidRDefault="005E6794" w:rsidP="005E6794">
      <w:pPr>
        <w:widowControl w:val="0"/>
        <w:tabs>
          <w:tab w:val="num" w:pos="1260"/>
        </w:tabs>
        <w:suppressAutoHyphens/>
        <w:ind w:firstLine="709"/>
        <w:jc w:val="both"/>
        <w:rPr>
          <w:sz w:val="28"/>
          <w:szCs w:val="28"/>
        </w:rPr>
      </w:pPr>
      <w:r>
        <w:rPr>
          <w:sz w:val="28"/>
          <w:szCs w:val="28"/>
        </w:rPr>
        <w:t>- кошторисні призначення на рік з урахуванням внесених змін по спеціальному фонду складають 473 358,7 тис. грн., в тому числі бюджет розвитку – 408 431,2 тис. грн.</w:t>
      </w:r>
    </w:p>
    <w:p w:rsidR="005E6794" w:rsidRDefault="005E6794" w:rsidP="005E6794">
      <w:pPr>
        <w:widowControl w:val="0"/>
        <w:tabs>
          <w:tab w:val="num" w:pos="1260"/>
        </w:tabs>
        <w:suppressAutoHyphens/>
        <w:ind w:firstLine="709"/>
        <w:jc w:val="both"/>
        <w:rPr>
          <w:sz w:val="28"/>
          <w:szCs w:val="28"/>
        </w:rPr>
      </w:pPr>
    </w:p>
    <w:p w:rsidR="005E6794" w:rsidRDefault="005E6794" w:rsidP="005E6794">
      <w:pPr>
        <w:widowControl w:val="0"/>
        <w:tabs>
          <w:tab w:val="num" w:pos="1260"/>
        </w:tabs>
        <w:suppressAutoHyphens/>
        <w:ind w:firstLine="709"/>
        <w:jc w:val="both"/>
        <w:rPr>
          <w:sz w:val="28"/>
          <w:szCs w:val="28"/>
        </w:rPr>
      </w:pPr>
      <w:r>
        <w:rPr>
          <w:sz w:val="28"/>
          <w:szCs w:val="28"/>
        </w:rPr>
        <w:t xml:space="preserve">Обсяг видатків </w:t>
      </w:r>
      <w:r>
        <w:rPr>
          <w:b/>
          <w:sz w:val="28"/>
          <w:szCs w:val="28"/>
        </w:rPr>
        <w:t>загального фонду</w:t>
      </w:r>
      <w:r>
        <w:rPr>
          <w:sz w:val="28"/>
          <w:szCs w:val="28"/>
        </w:rPr>
        <w:t xml:space="preserve"> міського бюджету на І півріччя               2018  року  передбачений в сумі 1 418 309,5 тис. грн., касові видатки склали 1 362 054,3 тис. грн., що складає 96,0% (касові видатки взяті зі звіту, наданого Управлінням Державної казначейської служби України у м. </w:t>
      </w:r>
      <w:proofErr w:type="spellStart"/>
      <w:r>
        <w:rPr>
          <w:sz w:val="28"/>
          <w:szCs w:val="28"/>
        </w:rPr>
        <w:t>Кременчуці</w:t>
      </w:r>
      <w:proofErr w:type="spellEnd"/>
      <w:r>
        <w:rPr>
          <w:sz w:val="28"/>
          <w:szCs w:val="28"/>
        </w:rPr>
        <w:t xml:space="preserve"> Полтавської області).</w:t>
      </w:r>
    </w:p>
    <w:p w:rsidR="005E6794" w:rsidRDefault="005E6794" w:rsidP="005E6794">
      <w:pPr>
        <w:widowControl w:val="0"/>
        <w:tabs>
          <w:tab w:val="left" w:pos="1440"/>
        </w:tabs>
        <w:suppressAutoHyphens/>
        <w:ind w:firstLine="709"/>
        <w:jc w:val="both"/>
        <w:rPr>
          <w:color w:val="FF0000"/>
          <w:sz w:val="28"/>
          <w:szCs w:val="28"/>
        </w:rPr>
      </w:pPr>
    </w:p>
    <w:p w:rsidR="005E6794" w:rsidRDefault="005E6794" w:rsidP="005E6794">
      <w:pPr>
        <w:widowControl w:val="0"/>
        <w:tabs>
          <w:tab w:val="left" w:pos="1440"/>
        </w:tabs>
        <w:suppressAutoHyphens/>
        <w:ind w:firstLine="709"/>
        <w:jc w:val="both"/>
        <w:rPr>
          <w:sz w:val="28"/>
          <w:szCs w:val="28"/>
        </w:rPr>
      </w:pPr>
      <w:r>
        <w:rPr>
          <w:sz w:val="28"/>
          <w:szCs w:val="28"/>
        </w:rPr>
        <w:t xml:space="preserve">Структура видатків бюджету м. Кременчука за І півріччя 2018 рік по основним галузям представлена у вигляді діаграми. </w:t>
      </w:r>
    </w:p>
    <w:p w:rsidR="005E6794" w:rsidRDefault="005E6794" w:rsidP="005E6794">
      <w:pPr>
        <w:widowControl w:val="0"/>
        <w:tabs>
          <w:tab w:val="left" w:pos="1440"/>
        </w:tabs>
        <w:suppressAutoHyphens/>
        <w:ind w:firstLine="709"/>
        <w:jc w:val="both"/>
        <w:rPr>
          <w:color w:val="FF0000"/>
          <w:sz w:val="28"/>
          <w:szCs w:val="28"/>
        </w:rPr>
      </w:pPr>
    </w:p>
    <w:p w:rsidR="005E6794" w:rsidRDefault="005E6794" w:rsidP="005E6794">
      <w:pPr>
        <w:widowControl w:val="0"/>
        <w:tabs>
          <w:tab w:val="left" w:pos="1440"/>
        </w:tabs>
        <w:suppressAutoHyphens/>
        <w:jc w:val="both"/>
        <w:rPr>
          <w:color w:val="FF0000"/>
          <w:sz w:val="28"/>
          <w:szCs w:val="28"/>
        </w:rPr>
      </w:pPr>
      <w:r>
        <w:rPr>
          <w:noProof/>
          <w:lang w:val="ru-RU" w:eastAsia="ru-RU"/>
        </w:rPr>
        <w:drawing>
          <wp:inline distT="0" distB="0" distL="0" distR="0">
            <wp:extent cx="6121400" cy="31369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1400" cy="3136900"/>
                    </a:xfrm>
                    <a:prstGeom prst="rect">
                      <a:avLst/>
                    </a:prstGeom>
                    <a:noFill/>
                    <a:ln>
                      <a:noFill/>
                    </a:ln>
                  </pic:spPr>
                </pic:pic>
              </a:graphicData>
            </a:graphic>
          </wp:inline>
        </w:drawing>
      </w:r>
    </w:p>
    <w:p w:rsidR="005E6794" w:rsidRDefault="005E6794" w:rsidP="005E6794">
      <w:pPr>
        <w:widowControl w:val="0"/>
        <w:tabs>
          <w:tab w:val="left" w:pos="1440"/>
        </w:tabs>
        <w:suppressAutoHyphens/>
        <w:ind w:firstLine="709"/>
        <w:jc w:val="both"/>
        <w:rPr>
          <w:sz w:val="28"/>
          <w:szCs w:val="28"/>
        </w:rPr>
      </w:pPr>
    </w:p>
    <w:p w:rsidR="005E6794" w:rsidRDefault="005E6794" w:rsidP="005E6794">
      <w:pPr>
        <w:widowControl w:val="0"/>
        <w:tabs>
          <w:tab w:val="left" w:pos="1440"/>
        </w:tabs>
        <w:suppressAutoHyphens/>
        <w:ind w:firstLine="709"/>
        <w:jc w:val="both"/>
        <w:rPr>
          <w:sz w:val="28"/>
          <w:szCs w:val="28"/>
        </w:rPr>
      </w:pPr>
      <w:r>
        <w:rPr>
          <w:sz w:val="28"/>
          <w:szCs w:val="28"/>
        </w:rPr>
        <w:t>Реверсна дотація передбачена на рік в сумі 54 973,8 тис. грн. За І півріччя 2018 року  було вилучено 27 486,6 тис. грн. при плані 27 486,6 тис. грн., тобто  100%.</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За рахунок резервного  фонду з міського бюджету за І півріччя 2018  року виділено 4,3 тис. грн.,  профінансовано 4,3 тис. грн.</w:t>
      </w:r>
    </w:p>
    <w:p w:rsidR="005E6794" w:rsidRDefault="005E6794" w:rsidP="005E6794">
      <w:pPr>
        <w:overflowPunct w:val="0"/>
        <w:autoSpaceDE w:val="0"/>
        <w:autoSpaceDN w:val="0"/>
        <w:adjustRightInd w:val="0"/>
        <w:ind w:firstLine="709"/>
        <w:jc w:val="both"/>
        <w:textAlignment w:val="baseline"/>
        <w:rPr>
          <w:color w:val="FF0000"/>
          <w:sz w:val="28"/>
          <w:szCs w:val="28"/>
        </w:rPr>
      </w:pPr>
    </w:p>
    <w:p w:rsidR="005E6794" w:rsidRDefault="005E6794" w:rsidP="005E6794">
      <w:pPr>
        <w:widowControl w:val="0"/>
        <w:tabs>
          <w:tab w:val="num" w:pos="1260"/>
        </w:tabs>
        <w:suppressAutoHyphens/>
        <w:ind w:firstLine="709"/>
        <w:jc w:val="both"/>
        <w:rPr>
          <w:sz w:val="28"/>
          <w:szCs w:val="28"/>
        </w:rPr>
      </w:pPr>
      <w:r>
        <w:rPr>
          <w:sz w:val="28"/>
          <w:szCs w:val="28"/>
        </w:rPr>
        <w:t>Видатки загального фонду на оплату праці і нарахування на заробітну плату працівникам бюджетної сфери (з урахуванням видатків згідно планів використання по галузі «Охорона здоров’я») за І півріччя 2018 року склали 486 530,5 тис. грн. при планових призначеннях 493 469,4 тис. грн., що складає 98,6%. Питома вага видатків на заробітну плату з нарахуваннями в загальних видатках склала 35,7%.</w:t>
      </w:r>
    </w:p>
    <w:p w:rsidR="005E6794" w:rsidRDefault="005E6794" w:rsidP="005E6794">
      <w:pPr>
        <w:widowControl w:val="0"/>
        <w:tabs>
          <w:tab w:val="num" w:pos="1260"/>
        </w:tabs>
        <w:suppressAutoHyphens/>
        <w:ind w:firstLine="709"/>
        <w:jc w:val="both"/>
        <w:rPr>
          <w:sz w:val="28"/>
          <w:szCs w:val="28"/>
        </w:rPr>
      </w:pPr>
      <w:r>
        <w:rPr>
          <w:sz w:val="28"/>
          <w:szCs w:val="28"/>
        </w:rPr>
        <w:t>Заборгованість по виплаті заробітної плати з нарахуваннями працівникам бюджетних установ станом  на 01.07.2018 відсутня.</w:t>
      </w:r>
    </w:p>
    <w:p w:rsidR="005E6794" w:rsidRDefault="005E6794" w:rsidP="005E6794">
      <w:pPr>
        <w:suppressAutoHyphens/>
        <w:overflowPunct w:val="0"/>
        <w:autoSpaceDE w:val="0"/>
        <w:autoSpaceDN w:val="0"/>
        <w:adjustRightInd w:val="0"/>
        <w:ind w:firstLine="709"/>
        <w:jc w:val="both"/>
        <w:textAlignment w:val="baseline"/>
        <w:rPr>
          <w:sz w:val="28"/>
          <w:szCs w:val="28"/>
        </w:rPr>
      </w:pPr>
      <w:r>
        <w:rPr>
          <w:sz w:val="28"/>
          <w:szCs w:val="28"/>
        </w:rPr>
        <w:lastRenderedPageBreak/>
        <w:t>Видатки на медикаменти (з урахуванням видатків згідно планів використання по галузі «Охорона здоров’я») при плані на І півріччя 2018 року  8 785,5 тис. грн., склали 8 764,2 тис. грн., що становить 99,8%. Питома вага від загальних витрат загального фонду 0,7%.</w:t>
      </w:r>
    </w:p>
    <w:p w:rsidR="005E6794" w:rsidRDefault="005E6794" w:rsidP="005E6794">
      <w:pPr>
        <w:suppressAutoHyphens/>
        <w:overflowPunct w:val="0"/>
        <w:autoSpaceDE w:val="0"/>
        <w:autoSpaceDN w:val="0"/>
        <w:adjustRightInd w:val="0"/>
        <w:ind w:firstLine="709"/>
        <w:jc w:val="both"/>
        <w:textAlignment w:val="baseline"/>
        <w:rPr>
          <w:sz w:val="28"/>
          <w:szCs w:val="28"/>
        </w:rPr>
      </w:pPr>
      <w:r>
        <w:rPr>
          <w:sz w:val="28"/>
          <w:szCs w:val="28"/>
        </w:rPr>
        <w:t xml:space="preserve">Видатки на  продукти   харчування (з урахуванням видатків згідно планів використання по галузі «Охорона здоров’я») при плані 14 860,7 тис. грн.,  склали 14 149,4 тис. грн., що становить 95,2%. Питома вага від загальних витрат загального фонду 1,0%. </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Видатки загального фонду на оплату комунальних послуг та енергоносіїв  (з урахуванням видатків згідно планів використання по галузі «Охорона здоров’я»)</w:t>
      </w:r>
      <w:r>
        <w:rPr>
          <w:b/>
          <w:i/>
          <w:sz w:val="28"/>
          <w:szCs w:val="28"/>
        </w:rPr>
        <w:t xml:space="preserve"> </w:t>
      </w:r>
      <w:r>
        <w:rPr>
          <w:sz w:val="28"/>
          <w:szCs w:val="28"/>
        </w:rPr>
        <w:t>при плані на І півріччя поточного року 56 381,6 тис. грн. склали 56 165,3 тис. грн., що становить 99,6%. Питома вага від загальних витрат загального фонду – 4,1%.</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Поточні трансферти на соціальне забезпечення при плані                        615 162,2 тис. грн., склали 597 390,4 тис. грн., що становить 97,1%. Питома вага від загальних витрат загального фонду – 43,9%.</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xml:space="preserve">Станом на 01.07.2018 виникла кредиторська заборгованість по загальному фонду в сумі 51 934,0 тис. грн., в </w:t>
      </w:r>
      <w:proofErr w:type="spellStart"/>
      <w:r>
        <w:rPr>
          <w:sz w:val="28"/>
          <w:szCs w:val="28"/>
        </w:rPr>
        <w:t>т.ч</w:t>
      </w:r>
      <w:proofErr w:type="spellEnd"/>
      <w:r>
        <w:rPr>
          <w:sz w:val="28"/>
          <w:szCs w:val="28"/>
        </w:rPr>
        <w:t>.:</w:t>
      </w:r>
    </w:p>
    <w:p w:rsidR="005E6794" w:rsidRDefault="005E6794" w:rsidP="005E6794">
      <w:pPr>
        <w:numPr>
          <w:ilvl w:val="0"/>
          <w:numId w:val="7"/>
        </w:numPr>
        <w:overflowPunct w:val="0"/>
        <w:autoSpaceDE w:val="0"/>
        <w:autoSpaceDN w:val="0"/>
        <w:adjustRightInd w:val="0"/>
        <w:contextualSpacing/>
        <w:jc w:val="both"/>
        <w:textAlignment w:val="baseline"/>
        <w:rPr>
          <w:sz w:val="28"/>
          <w:szCs w:val="28"/>
        </w:rPr>
      </w:pPr>
      <w:r>
        <w:rPr>
          <w:sz w:val="28"/>
          <w:szCs w:val="28"/>
        </w:rPr>
        <w:t>предмети, матеріали, обладнання та інвентар – 753,3 тис. грн.,</w:t>
      </w:r>
    </w:p>
    <w:p w:rsidR="005E6794" w:rsidRDefault="005E6794" w:rsidP="005E6794">
      <w:pPr>
        <w:numPr>
          <w:ilvl w:val="0"/>
          <w:numId w:val="7"/>
        </w:numPr>
        <w:overflowPunct w:val="0"/>
        <w:autoSpaceDE w:val="0"/>
        <w:autoSpaceDN w:val="0"/>
        <w:adjustRightInd w:val="0"/>
        <w:contextualSpacing/>
        <w:jc w:val="both"/>
        <w:textAlignment w:val="baseline"/>
        <w:rPr>
          <w:sz w:val="28"/>
          <w:szCs w:val="28"/>
        </w:rPr>
      </w:pPr>
      <w:r>
        <w:rPr>
          <w:sz w:val="28"/>
          <w:szCs w:val="28"/>
        </w:rPr>
        <w:t>оплата послуг (крім комунальних) – 779,0 тис. грн.,</w:t>
      </w:r>
    </w:p>
    <w:p w:rsidR="005E6794" w:rsidRDefault="005E6794" w:rsidP="005E6794">
      <w:pPr>
        <w:numPr>
          <w:ilvl w:val="0"/>
          <w:numId w:val="7"/>
        </w:numPr>
        <w:overflowPunct w:val="0"/>
        <w:autoSpaceDE w:val="0"/>
        <w:autoSpaceDN w:val="0"/>
        <w:adjustRightInd w:val="0"/>
        <w:contextualSpacing/>
        <w:jc w:val="both"/>
        <w:textAlignment w:val="baseline"/>
        <w:rPr>
          <w:sz w:val="28"/>
          <w:szCs w:val="28"/>
        </w:rPr>
      </w:pPr>
      <w:r>
        <w:rPr>
          <w:sz w:val="28"/>
          <w:szCs w:val="28"/>
        </w:rPr>
        <w:t>видатки на відрядження – 20,9 тис. грн.,</w:t>
      </w:r>
    </w:p>
    <w:p w:rsidR="005E6794" w:rsidRDefault="005E6794" w:rsidP="005E6794">
      <w:pPr>
        <w:numPr>
          <w:ilvl w:val="0"/>
          <w:numId w:val="7"/>
        </w:numPr>
        <w:overflowPunct w:val="0"/>
        <w:autoSpaceDE w:val="0"/>
        <w:autoSpaceDN w:val="0"/>
        <w:adjustRightInd w:val="0"/>
        <w:contextualSpacing/>
        <w:jc w:val="both"/>
        <w:textAlignment w:val="baseline"/>
        <w:rPr>
          <w:sz w:val="28"/>
          <w:szCs w:val="28"/>
        </w:rPr>
      </w:pPr>
      <w:r>
        <w:rPr>
          <w:sz w:val="28"/>
          <w:szCs w:val="28"/>
        </w:rPr>
        <w:t>оплата комунальних послуг та енергоносіїв – 2,1 тис. грн.,</w:t>
      </w:r>
    </w:p>
    <w:p w:rsidR="005E6794" w:rsidRDefault="005E6794" w:rsidP="005E6794">
      <w:pPr>
        <w:numPr>
          <w:ilvl w:val="0"/>
          <w:numId w:val="7"/>
        </w:numPr>
        <w:tabs>
          <w:tab w:val="left" w:pos="709"/>
          <w:tab w:val="left" w:pos="1134"/>
        </w:tabs>
        <w:overflowPunct w:val="0"/>
        <w:autoSpaceDE w:val="0"/>
        <w:autoSpaceDN w:val="0"/>
        <w:adjustRightInd w:val="0"/>
        <w:ind w:left="0" w:firstLine="709"/>
        <w:contextualSpacing/>
        <w:jc w:val="both"/>
        <w:textAlignment w:val="baseline"/>
        <w:rPr>
          <w:sz w:val="28"/>
          <w:szCs w:val="28"/>
        </w:rPr>
      </w:pPr>
      <w:r>
        <w:rPr>
          <w:sz w:val="28"/>
          <w:szCs w:val="28"/>
        </w:rPr>
        <w:t>субсидії та поточні трансферти підприємствам (установам, організаціям) – 4 283,6 тис. грн.,</w:t>
      </w:r>
    </w:p>
    <w:p w:rsidR="005E6794" w:rsidRDefault="005E6794" w:rsidP="005E6794">
      <w:pPr>
        <w:numPr>
          <w:ilvl w:val="0"/>
          <w:numId w:val="7"/>
        </w:numPr>
        <w:tabs>
          <w:tab w:val="left" w:pos="993"/>
        </w:tabs>
        <w:overflowPunct w:val="0"/>
        <w:autoSpaceDE w:val="0"/>
        <w:autoSpaceDN w:val="0"/>
        <w:adjustRightInd w:val="0"/>
        <w:ind w:left="0" w:firstLine="709"/>
        <w:contextualSpacing/>
        <w:jc w:val="both"/>
        <w:textAlignment w:val="baseline"/>
        <w:rPr>
          <w:sz w:val="28"/>
          <w:szCs w:val="28"/>
        </w:rPr>
      </w:pPr>
      <w:r>
        <w:rPr>
          <w:sz w:val="28"/>
          <w:szCs w:val="28"/>
        </w:rPr>
        <w:t xml:space="preserve">інші виплати населенню (заборгованість по субвенції з державного бюджету на пільги та субсидії, яка виникла через недофінансування з державного бюджету та буде погашена по мірі надходження коштів) – </w:t>
      </w:r>
      <w:r w:rsidR="002B3E96">
        <w:rPr>
          <w:sz w:val="28"/>
          <w:szCs w:val="28"/>
        </w:rPr>
        <w:t xml:space="preserve">               </w:t>
      </w:r>
      <w:r>
        <w:rPr>
          <w:sz w:val="28"/>
          <w:szCs w:val="28"/>
        </w:rPr>
        <w:t>46 050,5 тис. грн.</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Кредиторська заборгованість по іншим статтям видатків виникла в зв’язку з невиконанням доходної частини міського бюджету.</w:t>
      </w:r>
    </w:p>
    <w:p w:rsidR="005E6794" w:rsidRDefault="005E6794" w:rsidP="005E6794">
      <w:pPr>
        <w:widowControl w:val="0"/>
        <w:tabs>
          <w:tab w:val="num" w:pos="1260"/>
        </w:tabs>
        <w:suppressAutoHyphens/>
        <w:ind w:firstLine="709"/>
        <w:jc w:val="both"/>
        <w:rPr>
          <w:sz w:val="28"/>
          <w:szCs w:val="28"/>
        </w:rPr>
      </w:pPr>
    </w:p>
    <w:p w:rsidR="005E6794" w:rsidRDefault="005E6794" w:rsidP="005E6794">
      <w:pPr>
        <w:widowControl w:val="0"/>
        <w:tabs>
          <w:tab w:val="num" w:pos="1260"/>
        </w:tabs>
        <w:suppressAutoHyphens/>
        <w:ind w:firstLine="709"/>
        <w:jc w:val="both"/>
        <w:rPr>
          <w:sz w:val="28"/>
          <w:szCs w:val="28"/>
        </w:rPr>
      </w:pPr>
      <w:r>
        <w:rPr>
          <w:sz w:val="28"/>
          <w:szCs w:val="28"/>
        </w:rPr>
        <w:t xml:space="preserve">Касові видатки по </w:t>
      </w:r>
      <w:r>
        <w:rPr>
          <w:b/>
          <w:sz w:val="28"/>
          <w:szCs w:val="28"/>
        </w:rPr>
        <w:t>спеціальному фонду</w:t>
      </w:r>
      <w:r>
        <w:rPr>
          <w:sz w:val="28"/>
          <w:szCs w:val="28"/>
        </w:rPr>
        <w:t>, з урахуванням кредитування, за І півріччя 2018 року склали 145 140,2  тис. грн., при  уточнених річних обсягах кошторисних призначень – 473 358,7 тис. грн.,  що складає 30,7%.</w:t>
      </w:r>
    </w:p>
    <w:p w:rsidR="005E6794" w:rsidRDefault="005E6794" w:rsidP="005E6794">
      <w:pPr>
        <w:suppressAutoHyphens/>
        <w:overflowPunct w:val="0"/>
        <w:autoSpaceDE w:val="0"/>
        <w:autoSpaceDN w:val="0"/>
        <w:adjustRightInd w:val="0"/>
        <w:ind w:firstLine="709"/>
        <w:jc w:val="both"/>
        <w:textAlignment w:val="baseline"/>
        <w:rPr>
          <w:szCs w:val="28"/>
        </w:rPr>
      </w:pPr>
      <w:r>
        <w:rPr>
          <w:sz w:val="28"/>
          <w:szCs w:val="28"/>
        </w:rPr>
        <w:t>На оплату праці і нарахування на заробітну плату направлено                       2 410,4 тис. грн. (заробітна плата працівників, які надають платні послуги в бюджетних установах відповідно до законодавства). На придбання медикаментів витрачено – 14,1 тис. грн., продуктів харчування –                            9 143,9 тис. грн., оплату комунальних послуг та енергоносіїв – 380,1 тис. грн.</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Капітальні видатки спеціального фонду бюджету заплановані на рік з урахуванням змін в сумі 420 095,3 тис. грн.,  в тому числі бюджет розвитку – 402 135,2 тис. грн. Касові видатки за звітний період склали 115 046,2 тис. грн., тобто 27,4%.</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xml:space="preserve">На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 - комунальних послуг (інваліди </w:t>
      </w:r>
      <w:r>
        <w:rPr>
          <w:sz w:val="28"/>
          <w:szCs w:val="28"/>
        </w:rPr>
        <w:lastRenderedPageBreak/>
        <w:t>по зору, почесні громадяни міста, сім’ї загиблих воїнів - афганців,</w:t>
      </w:r>
      <w:r>
        <w:rPr>
          <w:kern w:val="2"/>
          <w:sz w:val="28"/>
          <w:szCs w:val="28"/>
        </w:rPr>
        <w:t xml:space="preserve"> пільги учасникам АТО та членам їх сімей на послуги з утримання будинків і споруд та прибудинкових територій</w:t>
      </w:r>
      <w:r>
        <w:rPr>
          <w:sz w:val="28"/>
          <w:szCs w:val="28"/>
        </w:rPr>
        <w:t xml:space="preserve">) в міському бюджеті на 2018 рік  передбачено асигнування в сумі 1 929,2 тис. грн. </w:t>
      </w:r>
      <w:r>
        <w:rPr>
          <w:kern w:val="2"/>
          <w:sz w:val="28"/>
          <w:szCs w:val="28"/>
        </w:rPr>
        <w:t>К</w:t>
      </w:r>
      <w:r>
        <w:rPr>
          <w:sz w:val="28"/>
          <w:szCs w:val="28"/>
        </w:rPr>
        <w:t>асові видатки в І півріччі 2018 року склали 749,7 тис. грн.</w:t>
      </w:r>
      <w:r>
        <w:rPr>
          <w:szCs w:val="28"/>
        </w:rPr>
        <w:t xml:space="preserve"> </w:t>
      </w:r>
      <w:r>
        <w:rPr>
          <w:sz w:val="28"/>
          <w:szCs w:val="28"/>
        </w:rPr>
        <w:t>(38,9 % запланованих річних асигнувань і 91,2% плану на звітний період).</w:t>
      </w:r>
    </w:p>
    <w:p w:rsidR="005E6794" w:rsidRDefault="005E6794" w:rsidP="005E6794">
      <w:pPr>
        <w:overflowPunct w:val="0"/>
        <w:autoSpaceDE w:val="0"/>
        <w:autoSpaceDN w:val="0"/>
        <w:adjustRightInd w:val="0"/>
        <w:ind w:firstLine="709"/>
        <w:jc w:val="both"/>
        <w:textAlignment w:val="baseline"/>
        <w:rPr>
          <w:szCs w:val="28"/>
        </w:rPr>
      </w:pPr>
      <w:r>
        <w:rPr>
          <w:sz w:val="28"/>
          <w:szCs w:val="28"/>
        </w:rPr>
        <w:t>Видатки із міського бюджету на житлово - комунальне господарство на 2018 рік визначено в сумі 208 517,7 тис. грн. (з них загальний фонд (видатки споживання) –  100 403,8 тис. грн., спеціальний фонд (бюджет розвитку) – 108 113,9 тис. грн.). Видатки на житлово - комунальне господарство розподіляються таким чином:  утримання та ефективна експлуатація об’єктів житлово - комунального господарства</w:t>
      </w:r>
      <w:r>
        <w:rPr>
          <w:b/>
          <w:sz w:val="28"/>
          <w:szCs w:val="28"/>
        </w:rPr>
        <w:t xml:space="preserve"> </w:t>
      </w:r>
      <w:r>
        <w:rPr>
          <w:sz w:val="28"/>
          <w:szCs w:val="28"/>
        </w:rPr>
        <w:t>– 25 730,0 тис. грн., забезпечення функціонування підприємств, установ та організацій, що виробляють, виконують та/або надають житлово - комунальні послуги – 30 160,4 тис. грн., організація благоустрою населених пунктів</w:t>
      </w:r>
      <w:r>
        <w:rPr>
          <w:b/>
          <w:sz w:val="28"/>
          <w:szCs w:val="28"/>
        </w:rPr>
        <w:t xml:space="preserve"> </w:t>
      </w:r>
      <w:r>
        <w:rPr>
          <w:sz w:val="28"/>
          <w:szCs w:val="28"/>
        </w:rPr>
        <w:t>– 77 106,1 тис. грн.,</w:t>
      </w:r>
      <w:r>
        <w:rPr>
          <w:b/>
          <w:sz w:val="28"/>
          <w:szCs w:val="28"/>
        </w:rPr>
        <w:t xml:space="preserve"> </w:t>
      </w:r>
      <w:r>
        <w:rPr>
          <w:sz w:val="28"/>
          <w:szCs w:val="28"/>
        </w:rPr>
        <w:t>реалізація державних та місцевих житлових програм – 6 810,7 тис. грн.,</w:t>
      </w:r>
      <w:r>
        <w:rPr>
          <w:b/>
          <w:sz w:val="28"/>
          <w:szCs w:val="28"/>
        </w:rPr>
        <w:t xml:space="preserve"> </w:t>
      </w:r>
      <w:r>
        <w:rPr>
          <w:sz w:val="28"/>
          <w:szCs w:val="28"/>
        </w:rPr>
        <w:t>інша діяльність у сфері житлово - комунального господарства – 68 710,5 тис. грн.</w:t>
      </w:r>
    </w:p>
    <w:p w:rsidR="005E6794" w:rsidRDefault="005E6794" w:rsidP="005E6794">
      <w:pPr>
        <w:overflowPunct w:val="0"/>
        <w:autoSpaceDE w:val="0"/>
        <w:autoSpaceDN w:val="0"/>
        <w:adjustRightInd w:val="0"/>
        <w:ind w:firstLine="709"/>
        <w:jc w:val="both"/>
        <w:textAlignment w:val="baseline"/>
        <w:rPr>
          <w:szCs w:val="28"/>
        </w:rPr>
      </w:pPr>
      <w:r>
        <w:rPr>
          <w:sz w:val="28"/>
          <w:szCs w:val="28"/>
        </w:rPr>
        <w:t>Касові видатки за І півріччя 2018 року на житлово - комунальне господарство склали 89 651,5 тис. грн. (43,0 % запланованих річних асигнувань і 94,3% плану на звітний період), в т. ч. утримання та ефективна експлуатація об’єктів житлово - комунального господарства</w:t>
      </w:r>
      <w:r>
        <w:rPr>
          <w:b/>
          <w:sz w:val="28"/>
          <w:szCs w:val="28"/>
        </w:rPr>
        <w:t xml:space="preserve"> </w:t>
      </w:r>
      <w:r>
        <w:rPr>
          <w:sz w:val="28"/>
          <w:szCs w:val="28"/>
        </w:rPr>
        <w:t>– 4 443,8 тис. грн., забезпечення функціонування підприємств, установ та організацій, що виробляють, виконують та/або надають житлово-комунальні послуги – 20 732,7 тис. грн., організація благоустрою населених пунктів</w:t>
      </w:r>
      <w:r>
        <w:rPr>
          <w:b/>
          <w:sz w:val="28"/>
          <w:szCs w:val="28"/>
        </w:rPr>
        <w:t xml:space="preserve"> </w:t>
      </w:r>
      <w:r>
        <w:rPr>
          <w:sz w:val="28"/>
          <w:szCs w:val="28"/>
        </w:rPr>
        <w:t>– 36 112,0 тис. грн.;</w:t>
      </w:r>
      <w:r>
        <w:rPr>
          <w:b/>
          <w:sz w:val="28"/>
          <w:szCs w:val="28"/>
        </w:rPr>
        <w:t xml:space="preserve"> </w:t>
      </w:r>
      <w:r>
        <w:rPr>
          <w:sz w:val="28"/>
          <w:szCs w:val="28"/>
        </w:rPr>
        <w:t>реалізація державних та місцевих житлових програм – 4 078,0 тис. грн., інша діяльність у сфері житлово - комунального господарства – 24 285,0 тис. грн.</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xml:space="preserve">На заходи щодо виконання міської програми «Програма реалізації Основних напрямів земельної реформи на 2018 рік в м. </w:t>
      </w:r>
      <w:proofErr w:type="spellStart"/>
      <w:r>
        <w:rPr>
          <w:sz w:val="28"/>
          <w:szCs w:val="28"/>
        </w:rPr>
        <w:t>Кременчуці</w:t>
      </w:r>
      <w:proofErr w:type="spellEnd"/>
      <w:r>
        <w:rPr>
          <w:sz w:val="28"/>
          <w:szCs w:val="28"/>
        </w:rPr>
        <w:t xml:space="preserve">» передбачені асигнування в сумі 2 401,4,0 тис. грн. Касові видатки в  І півріччі 2018 року склали 1,4 тис. грн., що складає 0,06% річного плану і 0,1% плану звітного періоду. </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На утримання та розвиток наземного електротранспорту на 2018 рік передбачені видатки в сумі  46 830,4 тис. грн. Касові видатки за  І півріччя              2018 року склали  18 653,3 тис. грн. (38,9 % запланованих річних асигнувань і 77,1% плану на звітний період).</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xml:space="preserve">На утримання та розвиток автомобільних доріг та дорожньої інфраструктури на 2018 рік передбачено асигнування в сумі 78 047,9 тис. грн. Касові видатки в І півріччі 2018 року склали  32 529,1 тис. грн., що складає 41,7% річного плану і 73,1% плану звітного періоду. </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xml:space="preserve">На сприяння розвитку малого та середнього підприємництва в міському бюджеті на 2018 рік відповідно до міської програми «Програма розвитку малого підприємництва у м. </w:t>
      </w:r>
      <w:proofErr w:type="spellStart"/>
      <w:r>
        <w:rPr>
          <w:sz w:val="28"/>
          <w:szCs w:val="28"/>
        </w:rPr>
        <w:t>Кременчуці</w:t>
      </w:r>
      <w:proofErr w:type="spellEnd"/>
      <w:r>
        <w:rPr>
          <w:sz w:val="28"/>
          <w:szCs w:val="28"/>
        </w:rPr>
        <w:t xml:space="preserve"> на 2018 - 2020 роки» передбачено асигнування в сумі 344,5 тис. грн. Касові видатки за звітний період склали                 69,8 тис. грн. (20,3% річного плану і 45,2% плану на звітний період).</w:t>
      </w:r>
    </w:p>
    <w:p w:rsidR="005E6794" w:rsidRDefault="005E6794" w:rsidP="005E6794">
      <w:pPr>
        <w:overflowPunct w:val="0"/>
        <w:autoSpaceDE w:val="0"/>
        <w:autoSpaceDN w:val="0"/>
        <w:adjustRightInd w:val="0"/>
        <w:ind w:firstLine="709"/>
        <w:jc w:val="both"/>
        <w:textAlignment w:val="baseline"/>
        <w:rPr>
          <w:sz w:val="28"/>
          <w:szCs w:val="28"/>
        </w:rPr>
      </w:pPr>
      <w:r>
        <w:rPr>
          <w:kern w:val="2"/>
          <w:sz w:val="28"/>
          <w:szCs w:val="28"/>
        </w:rPr>
        <w:t>На заходи з енергозбереження</w:t>
      </w:r>
      <w:r>
        <w:rPr>
          <w:sz w:val="28"/>
          <w:szCs w:val="28"/>
        </w:rPr>
        <w:t xml:space="preserve"> передбачено асигнування в сумі                     900,0 тис. грн. </w:t>
      </w:r>
      <w:r>
        <w:rPr>
          <w:kern w:val="2"/>
          <w:sz w:val="28"/>
          <w:szCs w:val="28"/>
        </w:rPr>
        <w:t xml:space="preserve">На виконання «Програми стимулювання впровадження </w:t>
      </w:r>
      <w:r>
        <w:rPr>
          <w:kern w:val="2"/>
          <w:sz w:val="28"/>
          <w:szCs w:val="28"/>
        </w:rPr>
        <w:lastRenderedPageBreak/>
        <w:t>енергозберігаючих заходів у будинках об</w:t>
      </w:r>
      <w:r>
        <w:rPr>
          <w:sz w:val="28"/>
          <w:szCs w:val="28"/>
        </w:rPr>
        <w:t>’</w:t>
      </w:r>
      <w:r>
        <w:rPr>
          <w:kern w:val="2"/>
          <w:sz w:val="28"/>
          <w:szCs w:val="28"/>
        </w:rPr>
        <w:t xml:space="preserve">єднань співвласників багатоквартирних будинків та житлово - будівельних кооперативів                            м. Кременчука на 2015 - 2020 роки» </w:t>
      </w:r>
      <w:r>
        <w:rPr>
          <w:sz w:val="28"/>
          <w:szCs w:val="28"/>
        </w:rPr>
        <w:t xml:space="preserve"> касові видатки за звітний період склали 241,4 тис. грн.</w:t>
      </w:r>
      <w:r>
        <w:rPr>
          <w:kern w:val="2"/>
          <w:sz w:val="28"/>
          <w:szCs w:val="28"/>
        </w:rPr>
        <w:t xml:space="preserve"> </w:t>
      </w:r>
      <w:r>
        <w:rPr>
          <w:sz w:val="28"/>
          <w:szCs w:val="28"/>
        </w:rPr>
        <w:t>(26,8% річного плану і 60,4% плану на звітний період).</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На проведення експертної грошової оцінки земельних ділянок несільськогосподарського призначення, що підлягають продажу в 2018 році, передбачено асигнування в сумі 50,0 тис. грн. Касові видатки в звітному періоді не проводились.</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 xml:space="preserve">Внески міської ради до статутного капіталу суб’єктів господарювання визначені в сумі – 31 259,5 тис. грн., з них КП «Кременчуцька Муніципальна </w:t>
      </w:r>
      <w:proofErr w:type="spellStart"/>
      <w:r>
        <w:rPr>
          <w:sz w:val="28"/>
          <w:szCs w:val="28"/>
        </w:rPr>
        <w:t>Енегросервісна</w:t>
      </w:r>
      <w:proofErr w:type="spellEnd"/>
      <w:r>
        <w:rPr>
          <w:sz w:val="28"/>
          <w:szCs w:val="28"/>
        </w:rPr>
        <w:t xml:space="preserve"> Компанія» </w:t>
      </w:r>
      <w:r>
        <w:rPr>
          <w:kern w:val="2"/>
          <w:sz w:val="28"/>
        </w:rPr>
        <w:t>–</w:t>
      </w:r>
      <w:r>
        <w:rPr>
          <w:sz w:val="28"/>
          <w:szCs w:val="28"/>
        </w:rPr>
        <w:t xml:space="preserve"> 132,0 тис. грн., КП «</w:t>
      </w:r>
      <w:proofErr w:type="spellStart"/>
      <w:r>
        <w:rPr>
          <w:sz w:val="28"/>
          <w:szCs w:val="28"/>
        </w:rPr>
        <w:t>Кременчукводоканал</w:t>
      </w:r>
      <w:proofErr w:type="spellEnd"/>
      <w:r>
        <w:rPr>
          <w:sz w:val="28"/>
          <w:szCs w:val="28"/>
        </w:rPr>
        <w:t>» –                 21 177,5 тис. грн., КП «</w:t>
      </w:r>
      <w:proofErr w:type="spellStart"/>
      <w:r>
        <w:rPr>
          <w:sz w:val="28"/>
          <w:szCs w:val="28"/>
        </w:rPr>
        <w:t>Теплоенерго</w:t>
      </w:r>
      <w:proofErr w:type="spellEnd"/>
      <w:r>
        <w:rPr>
          <w:sz w:val="28"/>
          <w:szCs w:val="28"/>
        </w:rPr>
        <w:t>» –9 800,0 тис. грн</w:t>
      </w:r>
      <w:r>
        <w:rPr>
          <w:noProof/>
          <w:sz w:val="28"/>
          <w:szCs w:val="28"/>
        </w:rPr>
        <w:t xml:space="preserve">., КП «Аптека №90» </w:t>
      </w:r>
      <w:r>
        <w:rPr>
          <w:kern w:val="2"/>
          <w:sz w:val="28"/>
        </w:rPr>
        <w:t>–</w:t>
      </w:r>
      <w:r>
        <w:rPr>
          <w:noProof/>
          <w:sz w:val="28"/>
          <w:szCs w:val="28"/>
        </w:rPr>
        <w:t xml:space="preserve"> 150,0 тис. грн. Касові видатки у звітному періоді склали 19 037,5 тис. грн.,</w:t>
      </w:r>
      <w:r>
        <w:rPr>
          <w:sz w:val="28"/>
          <w:szCs w:val="28"/>
        </w:rPr>
        <w:t xml:space="preserve"> що дорівнює 60,9% річного плану та 88,2% виконання плану за звітний період).</w:t>
      </w:r>
    </w:p>
    <w:p w:rsidR="005E6794" w:rsidRDefault="005E6794" w:rsidP="005E6794">
      <w:pPr>
        <w:keepNext/>
        <w:tabs>
          <w:tab w:val="left" w:pos="709"/>
        </w:tabs>
        <w:overflowPunct w:val="0"/>
        <w:autoSpaceDE w:val="0"/>
        <w:autoSpaceDN w:val="0"/>
        <w:adjustRightInd w:val="0"/>
        <w:ind w:firstLine="709"/>
        <w:jc w:val="both"/>
        <w:textAlignment w:val="baseline"/>
        <w:outlineLvl w:val="6"/>
        <w:rPr>
          <w:color w:val="FF0000"/>
          <w:sz w:val="28"/>
          <w:szCs w:val="28"/>
        </w:rPr>
      </w:pPr>
      <w:r>
        <w:rPr>
          <w:sz w:val="28"/>
          <w:szCs w:val="28"/>
        </w:rPr>
        <w:t>Для підтримки засобів масової інформації (газети «Вісник Кременчука» та міської телерадіокомпанії) в міському бюджеті на 2018 рік передбачено кошти в сумі 7 662,3 тис. грн., касові видатки за І півріччя 2018 року склали                         3 706,2 тис. грн. (48,4% річного плану і 87,0% плану на звітний період).</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На будівництва та реконструкцію об’єктів на 2018 рік передбачено асигнування в сумі 109 221,1 тис. грн. Касові видатки за І півріччя 2018 року склали 16 473,6 тис. грн.  (15,1% річного плану і 21,7% плану на звітний період).</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В міському бюджеті на 2018 рік</w:t>
      </w:r>
      <w:r>
        <w:rPr>
          <w:b/>
          <w:sz w:val="28"/>
          <w:szCs w:val="28"/>
        </w:rPr>
        <w:t xml:space="preserve"> </w:t>
      </w:r>
      <w:r>
        <w:rPr>
          <w:sz w:val="28"/>
          <w:szCs w:val="28"/>
        </w:rPr>
        <w:t>передбачено надати пільгові довгострокові кредити громадянам на будівництво (реконструкцію) та придбання житла в сумі 5 178,3 тис. грн. Касові видатки в звітному періоді склали 4 668,9 тис. грн., що дорівнює 90,0 % річного плану та 96,1% виконання плану за звітний період.</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Повернення раніше наданих кредитів та відсотків за користування ними при плані 834,0 тис. грн. в звітному періоді склало 275,8 тис. грн., що дорівнює 44,1% річного плану та 79,7% виконання плану за звітний період.</w:t>
      </w:r>
    </w:p>
    <w:p w:rsidR="005E6794" w:rsidRDefault="005E6794" w:rsidP="005E6794">
      <w:pPr>
        <w:widowControl w:val="0"/>
        <w:numPr>
          <w:ilvl w:val="12"/>
          <w:numId w:val="0"/>
        </w:numPr>
        <w:overflowPunct w:val="0"/>
        <w:autoSpaceDE w:val="0"/>
        <w:autoSpaceDN w:val="0"/>
        <w:adjustRightInd w:val="0"/>
        <w:ind w:firstLine="567"/>
        <w:jc w:val="center"/>
        <w:textAlignment w:val="baseline"/>
        <w:rPr>
          <w:b/>
          <w:sz w:val="28"/>
          <w:szCs w:val="28"/>
        </w:rPr>
      </w:pPr>
    </w:p>
    <w:p w:rsidR="005E6794" w:rsidRDefault="005E6794" w:rsidP="005E6794">
      <w:pPr>
        <w:widowControl w:val="0"/>
        <w:numPr>
          <w:ilvl w:val="12"/>
          <w:numId w:val="0"/>
        </w:numPr>
        <w:overflowPunct w:val="0"/>
        <w:autoSpaceDE w:val="0"/>
        <w:autoSpaceDN w:val="0"/>
        <w:adjustRightInd w:val="0"/>
        <w:ind w:firstLine="567"/>
        <w:jc w:val="center"/>
        <w:textAlignment w:val="baseline"/>
        <w:rPr>
          <w:b/>
          <w:sz w:val="28"/>
          <w:szCs w:val="28"/>
        </w:rPr>
      </w:pPr>
      <w:r>
        <w:rPr>
          <w:b/>
          <w:sz w:val="28"/>
          <w:szCs w:val="28"/>
        </w:rPr>
        <w:t>Інформація щодо наданих місцевих гарантій</w:t>
      </w:r>
    </w:p>
    <w:p w:rsidR="005E6794" w:rsidRDefault="005E6794" w:rsidP="005E6794">
      <w:pPr>
        <w:widowControl w:val="0"/>
        <w:numPr>
          <w:ilvl w:val="12"/>
          <w:numId w:val="0"/>
        </w:numPr>
        <w:overflowPunct w:val="0"/>
        <w:autoSpaceDE w:val="0"/>
        <w:autoSpaceDN w:val="0"/>
        <w:adjustRightInd w:val="0"/>
        <w:ind w:firstLine="567"/>
        <w:jc w:val="center"/>
        <w:textAlignment w:val="baseline"/>
        <w:rPr>
          <w:b/>
          <w:sz w:val="28"/>
          <w:szCs w:val="28"/>
        </w:rPr>
      </w:pPr>
    </w:p>
    <w:p w:rsidR="005E6794" w:rsidRDefault="005E6794" w:rsidP="005E6794">
      <w:pPr>
        <w:numPr>
          <w:ilvl w:val="12"/>
          <w:numId w:val="0"/>
        </w:numPr>
        <w:overflowPunct w:val="0"/>
        <w:autoSpaceDE w:val="0"/>
        <w:autoSpaceDN w:val="0"/>
        <w:adjustRightInd w:val="0"/>
        <w:ind w:firstLine="709"/>
        <w:jc w:val="both"/>
        <w:textAlignment w:val="baseline"/>
        <w:rPr>
          <w:sz w:val="28"/>
          <w:szCs w:val="28"/>
        </w:rPr>
      </w:pPr>
      <w:r>
        <w:rPr>
          <w:sz w:val="28"/>
          <w:szCs w:val="28"/>
        </w:rPr>
        <w:t xml:space="preserve">Відповідно до статті VІ Договору про </w:t>
      </w:r>
      <w:proofErr w:type="spellStart"/>
      <w:r>
        <w:rPr>
          <w:sz w:val="28"/>
          <w:szCs w:val="28"/>
        </w:rPr>
        <w:t>субкредитування</w:t>
      </w:r>
      <w:proofErr w:type="spellEnd"/>
      <w:r>
        <w:rPr>
          <w:sz w:val="28"/>
          <w:szCs w:val="28"/>
        </w:rPr>
        <w:t xml:space="preserve">  №28010-02/11  від 27.01.2010 між Міністерством фінансів України, Міністерством з питань житлово - комунального господарства України та КП «</w:t>
      </w:r>
      <w:proofErr w:type="spellStart"/>
      <w:r>
        <w:rPr>
          <w:sz w:val="28"/>
          <w:szCs w:val="28"/>
        </w:rPr>
        <w:t>Кременчукводоканал</w:t>
      </w:r>
      <w:proofErr w:type="spellEnd"/>
      <w:r>
        <w:rPr>
          <w:sz w:val="28"/>
          <w:szCs w:val="28"/>
        </w:rPr>
        <w:t xml:space="preserve">» «Про використання сум позики, що надається Україні Міжнародним банком реконструкції та розвитку» (Угода про позику «Проект розвитку міської інфраструктури» №4869-UA від 26.05.2008 року) засобом забезпечення виконання </w:t>
      </w:r>
      <w:proofErr w:type="spellStart"/>
      <w:r>
        <w:rPr>
          <w:sz w:val="28"/>
          <w:szCs w:val="28"/>
        </w:rPr>
        <w:t>субпозичальником</w:t>
      </w:r>
      <w:proofErr w:type="spellEnd"/>
      <w:r>
        <w:rPr>
          <w:sz w:val="28"/>
          <w:szCs w:val="28"/>
        </w:rPr>
        <w:t xml:space="preserve"> своїх зобов’язань є гарантія Кременчуцької міської ради від 21.08.2009 №1, надана Кременчуцькою міською радою Міністерству фінансів України. </w:t>
      </w:r>
    </w:p>
    <w:p w:rsidR="005E6794" w:rsidRDefault="005E6794" w:rsidP="005E6794">
      <w:pPr>
        <w:numPr>
          <w:ilvl w:val="12"/>
          <w:numId w:val="0"/>
        </w:numPr>
        <w:overflowPunct w:val="0"/>
        <w:autoSpaceDE w:val="0"/>
        <w:autoSpaceDN w:val="0"/>
        <w:adjustRightInd w:val="0"/>
        <w:ind w:firstLine="709"/>
        <w:jc w:val="both"/>
        <w:textAlignment w:val="baseline"/>
        <w:rPr>
          <w:sz w:val="28"/>
          <w:szCs w:val="28"/>
        </w:rPr>
      </w:pPr>
      <w:r>
        <w:rPr>
          <w:sz w:val="28"/>
          <w:szCs w:val="28"/>
        </w:rPr>
        <w:t xml:space="preserve">Загальна сума </w:t>
      </w:r>
      <w:proofErr w:type="spellStart"/>
      <w:r>
        <w:rPr>
          <w:sz w:val="28"/>
          <w:szCs w:val="28"/>
        </w:rPr>
        <w:t>субкредиту</w:t>
      </w:r>
      <w:proofErr w:type="spellEnd"/>
      <w:r>
        <w:rPr>
          <w:sz w:val="28"/>
          <w:szCs w:val="28"/>
        </w:rPr>
        <w:t xml:space="preserve"> відповідно до Додаткової Угоди  від 01 квітня 2016 року № 28010-02/11-3 до Договору про </w:t>
      </w:r>
      <w:proofErr w:type="spellStart"/>
      <w:r>
        <w:rPr>
          <w:sz w:val="28"/>
          <w:szCs w:val="28"/>
        </w:rPr>
        <w:t>субкредитування</w:t>
      </w:r>
      <w:proofErr w:type="spellEnd"/>
      <w:r>
        <w:rPr>
          <w:sz w:val="28"/>
          <w:szCs w:val="28"/>
        </w:rPr>
        <w:t xml:space="preserve"> №28010-02/11   від</w:t>
      </w:r>
      <w:r>
        <w:rPr>
          <w:color w:val="FF0000"/>
          <w:sz w:val="28"/>
          <w:szCs w:val="28"/>
        </w:rPr>
        <w:t xml:space="preserve"> </w:t>
      </w:r>
      <w:r>
        <w:rPr>
          <w:sz w:val="28"/>
          <w:szCs w:val="28"/>
        </w:rPr>
        <w:t xml:space="preserve">27.01.2010 складає 6 528 743,88 </w:t>
      </w:r>
      <w:proofErr w:type="spellStart"/>
      <w:r>
        <w:rPr>
          <w:sz w:val="28"/>
          <w:szCs w:val="28"/>
        </w:rPr>
        <w:t>дол</w:t>
      </w:r>
      <w:proofErr w:type="spellEnd"/>
      <w:r>
        <w:rPr>
          <w:sz w:val="28"/>
          <w:szCs w:val="28"/>
        </w:rPr>
        <w:t xml:space="preserve">. США.  У відповідності до графіку </w:t>
      </w:r>
      <w:r>
        <w:rPr>
          <w:sz w:val="28"/>
          <w:szCs w:val="28"/>
        </w:rPr>
        <w:lastRenderedPageBreak/>
        <w:t xml:space="preserve">погашення основної суми </w:t>
      </w:r>
      <w:proofErr w:type="spellStart"/>
      <w:r>
        <w:rPr>
          <w:sz w:val="28"/>
          <w:szCs w:val="28"/>
        </w:rPr>
        <w:t>субкредиту</w:t>
      </w:r>
      <w:proofErr w:type="spellEnd"/>
      <w:r>
        <w:rPr>
          <w:sz w:val="28"/>
          <w:szCs w:val="28"/>
        </w:rPr>
        <w:t xml:space="preserve"> останній платіж передбачається                      15 жовтня 2027 року. </w:t>
      </w:r>
    </w:p>
    <w:p w:rsidR="005E6794" w:rsidRDefault="005E6794" w:rsidP="005E6794">
      <w:pPr>
        <w:tabs>
          <w:tab w:val="left" w:pos="709"/>
        </w:tabs>
        <w:overflowPunct w:val="0"/>
        <w:autoSpaceDE w:val="0"/>
        <w:autoSpaceDN w:val="0"/>
        <w:adjustRightInd w:val="0"/>
        <w:ind w:firstLine="709"/>
        <w:jc w:val="both"/>
        <w:textAlignment w:val="baseline"/>
        <w:rPr>
          <w:sz w:val="28"/>
          <w:szCs w:val="28"/>
        </w:rPr>
      </w:pPr>
      <w:r>
        <w:rPr>
          <w:sz w:val="28"/>
          <w:szCs w:val="28"/>
        </w:rPr>
        <w:t xml:space="preserve">В 2018 році погашення основної суми </w:t>
      </w:r>
      <w:proofErr w:type="spellStart"/>
      <w:r>
        <w:rPr>
          <w:sz w:val="28"/>
          <w:szCs w:val="28"/>
        </w:rPr>
        <w:t>субкредиту</w:t>
      </w:r>
      <w:proofErr w:type="spellEnd"/>
      <w:r>
        <w:rPr>
          <w:sz w:val="28"/>
          <w:szCs w:val="28"/>
        </w:rPr>
        <w:t xml:space="preserve"> передбачається здійснити двома </w:t>
      </w:r>
      <w:proofErr w:type="spellStart"/>
      <w:r>
        <w:rPr>
          <w:sz w:val="28"/>
          <w:szCs w:val="28"/>
        </w:rPr>
        <w:t>платежами</w:t>
      </w:r>
      <w:proofErr w:type="spellEnd"/>
      <w:r>
        <w:rPr>
          <w:sz w:val="28"/>
          <w:szCs w:val="28"/>
        </w:rPr>
        <w:t xml:space="preserve"> 15 квітня 2018 року та 15 жовтня 2018 року  в загальній сумі 431 748,26 </w:t>
      </w:r>
      <w:proofErr w:type="spellStart"/>
      <w:r>
        <w:rPr>
          <w:sz w:val="28"/>
          <w:szCs w:val="28"/>
        </w:rPr>
        <w:t>дол</w:t>
      </w:r>
      <w:proofErr w:type="spellEnd"/>
      <w:r>
        <w:rPr>
          <w:sz w:val="28"/>
          <w:szCs w:val="28"/>
        </w:rPr>
        <w:t xml:space="preserve">. США. Сплата відсотків та маржі відповідно до договору буде здійснювались двічі на рік 15 квітня і 15 жовтня 2018 року. </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Видатки на виконання наданих місцевих гарантій на 2018 рік визначені в сумі 2 300,5 тис. грн. План виконано на 100%.</w:t>
      </w:r>
    </w:p>
    <w:p w:rsidR="005E6794" w:rsidRDefault="005E6794" w:rsidP="005E6794">
      <w:pPr>
        <w:overflowPunct w:val="0"/>
        <w:autoSpaceDE w:val="0"/>
        <w:autoSpaceDN w:val="0"/>
        <w:adjustRightInd w:val="0"/>
        <w:ind w:firstLine="709"/>
        <w:jc w:val="both"/>
        <w:textAlignment w:val="baseline"/>
        <w:rPr>
          <w:sz w:val="28"/>
          <w:szCs w:val="28"/>
        </w:rPr>
      </w:pPr>
      <w:r>
        <w:rPr>
          <w:sz w:val="28"/>
          <w:szCs w:val="28"/>
        </w:rPr>
        <w:t>В 2018 році планується залучити кредит ЕБРР в сумі 5 224,1 тис. євро  (загальна сума кредиту 8 000,0 тис. євро) під місцеву гарантію. Мета кредиту – оновлення міського електротранспорту шляхом закупівлі тролейбусів для               КП «Кременчуцьке тролейбусне управління». Видатки на виконання місцевих гарантій по кредиту ЕБРР на 2018 рік визначені в сумі 15 154,0 тис. грн. Касові видатки в звітному періоді  склали 1 793,3 тис. грн., що дорівнює 11,8% річного плану та 24,6% виконання плану за звітний період.</w:t>
      </w:r>
    </w:p>
    <w:p w:rsidR="005E6794" w:rsidRDefault="005E6794" w:rsidP="005E6794">
      <w:pPr>
        <w:widowControl w:val="0"/>
        <w:overflowPunct w:val="0"/>
        <w:autoSpaceDE w:val="0"/>
        <w:autoSpaceDN w:val="0"/>
        <w:adjustRightInd w:val="0"/>
        <w:ind w:firstLine="567"/>
        <w:jc w:val="both"/>
        <w:textAlignment w:val="baseline"/>
        <w:rPr>
          <w:sz w:val="28"/>
          <w:szCs w:val="28"/>
        </w:rPr>
      </w:pPr>
      <w:r>
        <w:rPr>
          <w:kern w:val="2"/>
          <w:sz w:val="28"/>
          <w:szCs w:val="28"/>
        </w:rPr>
        <w:t xml:space="preserve">В 2018 році планується залучити кредит ЕБРР в сумі 3 000,0 тис. євро (загальна сума кредиту 7 500,0 тис. євро) під місцеву гарантію. Мета кредиту - </w:t>
      </w:r>
      <w:r>
        <w:rPr>
          <w:sz w:val="28"/>
          <w:szCs w:val="28"/>
        </w:rPr>
        <w:t xml:space="preserve">реалізація низки договорів </w:t>
      </w:r>
      <w:proofErr w:type="spellStart"/>
      <w:r>
        <w:rPr>
          <w:sz w:val="28"/>
          <w:szCs w:val="28"/>
        </w:rPr>
        <w:t>енергосервісного</w:t>
      </w:r>
      <w:proofErr w:type="spellEnd"/>
      <w:r>
        <w:rPr>
          <w:sz w:val="28"/>
          <w:szCs w:val="28"/>
        </w:rPr>
        <w:t xml:space="preserve"> </w:t>
      </w:r>
      <w:proofErr w:type="spellStart"/>
      <w:r>
        <w:rPr>
          <w:sz w:val="28"/>
          <w:szCs w:val="28"/>
        </w:rPr>
        <w:t>підряду</w:t>
      </w:r>
      <w:proofErr w:type="spellEnd"/>
      <w:r>
        <w:rPr>
          <w:sz w:val="28"/>
          <w:szCs w:val="28"/>
        </w:rPr>
        <w:t xml:space="preserve">, пов’язаних з інвестиціями в енергоефективність громадських будівель, шляхом залучення приватних </w:t>
      </w:r>
      <w:proofErr w:type="spellStart"/>
      <w:r>
        <w:rPr>
          <w:sz w:val="28"/>
          <w:szCs w:val="28"/>
        </w:rPr>
        <w:t>енергосервісних</w:t>
      </w:r>
      <w:proofErr w:type="spellEnd"/>
      <w:r>
        <w:rPr>
          <w:sz w:val="28"/>
          <w:szCs w:val="28"/>
        </w:rPr>
        <w:t xml:space="preserve"> компаній</w:t>
      </w:r>
      <w:r>
        <w:rPr>
          <w:kern w:val="2"/>
          <w:sz w:val="28"/>
          <w:szCs w:val="28"/>
        </w:rPr>
        <w:t>. Видатки на виконання місцевих гарантій по кредиту ЕБРР на 2018 рік визначені в сумі 4 575,0 тис. грн. Касові видатки не проводились.</w:t>
      </w:r>
    </w:p>
    <w:p w:rsidR="005E6794" w:rsidRDefault="005E6794" w:rsidP="005E6794">
      <w:pPr>
        <w:widowControl w:val="0"/>
        <w:numPr>
          <w:ilvl w:val="12"/>
          <w:numId w:val="0"/>
        </w:numPr>
        <w:overflowPunct w:val="0"/>
        <w:autoSpaceDE w:val="0"/>
        <w:autoSpaceDN w:val="0"/>
        <w:adjustRightInd w:val="0"/>
        <w:ind w:firstLine="567"/>
        <w:jc w:val="center"/>
        <w:textAlignment w:val="baseline"/>
        <w:rPr>
          <w:b/>
          <w:sz w:val="28"/>
          <w:szCs w:val="28"/>
        </w:rPr>
      </w:pPr>
    </w:p>
    <w:p w:rsidR="005E6794" w:rsidRDefault="005E6794" w:rsidP="005E6794">
      <w:pPr>
        <w:widowControl w:val="0"/>
        <w:numPr>
          <w:ilvl w:val="12"/>
          <w:numId w:val="0"/>
        </w:numPr>
        <w:overflowPunct w:val="0"/>
        <w:autoSpaceDE w:val="0"/>
        <w:autoSpaceDN w:val="0"/>
        <w:adjustRightInd w:val="0"/>
        <w:ind w:firstLine="567"/>
        <w:jc w:val="center"/>
        <w:textAlignment w:val="baseline"/>
        <w:rPr>
          <w:b/>
          <w:sz w:val="28"/>
          <w:szCs w:val="28"/>
          <w:lang w:val="ru-RU"/>
        </w:rPr>
      </w:pPr>
      <w:r>
        <w:rPr>
          <w:b/>
          <w:sz w:val="28"/>
          <w:szCs w:val="28"/>
        </w:rPr>
        <w:t xml:space="preserve">Інформація щодо обслуговування боргу міського бюджету, </w:t>
      </w:r>
    </w:p>
    <w:p w:rsidR="005E6794" w:rsidRDefault="005E6794" w:rsidP="005E6794">
      <w:pPr>
        <w:widowControl w:val="0"/>
        <w:numPr>
          <w:ilvl w:val="12"/>
          <w:numId w:val="0"/>
        </w:numPr>
        <w:overflowPunct w:val="0"/>
        <w:autoSpaceDE w:val="0"/>
        <w:autoSpaceDN w:val="0"/>
        <w:adjustRightInd w:val="0"/>
        <w:ind w:firstLine="567"/>
        <w:jc w:val="center"/>
        <w:textAlignment w:val="baseline"/>
        <w:rPr>
          <w:b/>
          <w:sz w:val="28"/>
          <w:szCs w:val="28"/>
        </w:rPr>
      </w:pPr>
      <w:r>
        <w:rPr>
          <w:b/>
          <w:sz w:val="28"/>
          <w:szCs w:val="28"/>
        </w:rPr>
        <w:t xml:space="preserve">обсягів та умов запозичень </w:t>
      </w:r>
    </w:p>
    <w:p w:rsidR="005E6794" w:rsidRDefault="005E6794" w:rsidP="005E6794">
      <w:pPr>
        <w:widowControl w:val="0"/>
        <w:numPr>
          <w:ilvl w:val="12"/>
          <w:numId w:val="0"/>
        </w:numPr>
        <w:overflowPunct w:val="0"/>
        <w:autoSpaceDE w:val="0"/>
        <w:autoSpaceDN w:val="0"/>
        <w:adjustRightInd w:val="0"/>
        <w:ind w:firstLine="567"/>
        <w:jc w:val="center"/>
        <w:textAlignment w:val="baseline"/>
        <w:rPr>
          <w:b/>
          <w:sz w:val="28"/>
          <w:szCs w:val="28"/>
        </w:rPr>
      </w:pPr>
    </w:p>
    <w:p w:rsidR="005E6794" w:rsidRDefault="005E6794" w:rsidP="005E6794">
      <w:pPr>
        <w:numPr>
          <w:ilvl w:val="12"/>
          <w:numId w:val="0"/>
        </w:numPr>
        <w:overflowPunct w:val="0"/>
        <w:autoSpaceDE w:val="0"/>
        <w:autoSpaceDN w:val="0"/>
        <w:adjustRightInd w:val="0"/>
        <w:ind w:firstLine="709"/>
        <w:jc w:val="both"/>
        <w:textAlignment w:val="baseline"/>
        <w:rPr>
          <w:sz w:val="28"/>
          <w:szCs w:val="28"/>
        </w:rPr>
      </w:pPr>
      <w:r>
        <w:rPr>
          <w:sz w:val="28"/>
          <w:szCs w:val="28"/>
        </w:rPr>
        <w:t xml:space="preserve">По кредитному договору між «Північною екологічною фінансовою корпорацією» (НЕФКО) та Кременчуцькою міською радою, метою якого є </w:t>
      </w:r>
      <w:r>
        <w:rPr>
          <w:kern w:val="2"/>
          <w:sz w:val="28"/>
          <w:szCs w:val="28"/>
        </w:rPr>
        <w:t xml:space="preserve">фінансування впровадження заходів проекту «Технічне переоснащення та модернізація вуличного освітлення міста Кременчук Полтавської області»                   (вул. </w:t>
      </w:r>
      <w:proofErr w:type="spellStart"/>
      <w:r>
        <w:rPr>
          <w:kern w:val="2"/>
          <w:sz w:val="28"/>
          <w:szCs w:val="28"/>
        </w:rPr>
        <w:t>Халаменюка</w:t>
      </w:r>
      <w:proofErr w:type="spellEnd"/>
      <w:r>
        <w:rPr>
          <w:kern w:val="2"/>
          <w:sz w:val="28"/>
          <w:szCs w:val="28"/>
        </w:rPr>
        <w:t xml:space="preserve"> – проспект Свободи та проспект Лесі Українки), в 2018 році на обслуговування кредиту (сплату відсотків) передбачені видатки в сумі             150,0 тис. грн., на погашення основної суми боргу по запозиченню                     1 542,76 тис. грн.</w:t>
      </w:r>
      <w:r>
        <w:rPr>
          <w:sz w:val="28"/>
          <w:szCs w:val="28"/>
        </w:rPr>
        <w:t xml:space="preserve"> Касові видатки в звітному періоді</w:t>
      </w:r>
      <w:r>
        <w:rPr>
          <w:kern w:val="2"/>
          <w:sz w:val="28"/>
          <w:szCs w:val="28"/>
        </w:rPr>
        <w:t xml:space="preserve"> на погашення основної суми боргу по запозиченню склали</w:t>
      </w:r>
      <w:r>
        <w:rPr>
          <w:sz w:val="28"/>
          <w:szCs w:val="28"/>
        </w:rPr>
        <w:t xml:space="preserve">  469,3 тис. грн., на обслуговування кредиту (сплату відсотків) – 25,7 тис. грн. </w:t>
      </w:r>
    </w:p>
    <w:p w:rsidR="00164E32" w:rsidRDefault="00164E32" w:rsidP="00164E32">
      <w:pPr>
        <w:widowControl w:val="0"/>
        <w:tabs>
          <w:tab w:val="left" w:pos="1440"/>
        </w:tabs>
        <w:suppressAutoHyphens/>
        <w:jc w:val="both"/>
        <w:rPr>
          <w:b/>
          <w:sz w:val="28"/>
          <w:szCs w:val="28"/>
          <w:lang w:eastAsia="ru-RU"/>
        </w:rPr>
      </w:pPr>
    </w:p>
    <w:p w:rsidR="005E6794" w:rsidRDefault="005E6794" w:rsidP="00164E32">
      <w:pPr>
        <w:widowControl w:val="0"/>
        <w:tabs>
          <w:tab w:val="left" w:pos="1440"/>
        </w:tabs>
        <w:suppressAutoHyphens/>
        <w:jc w:val="both"/>
        <w:rPr>
          <w:b/>
          <w:sz w:val="28"/>
          <w:szCs w:val="28"/>
          <w:lang w:eastAsia="ru-RU"/>
        </w:rPr>
      </w:pPr>
    </w:p>
    <w:p w:rsidR="00663380" w:rsidRDefault="00663380" w:rsidP="00164E32">
      <w:pPr>
        <w:widowControl w:val="0"/>
        <w:tabs>
          <w:tab w:val="left" w:pos="1440"/>
        </w:tabs>
        <w:suppressAutoHyphens/>
        <w:jc w:val="both"/>
        <w:rPr>
          <w:b/>
          <w:sz w:val="28"/>
          <w:szCs w:val="28"/>
          <w:lang w:eastAsia="ru-RU"/>
        </w:rPr>
      </w:pPr>
    </w:p>
    <w:p w:rsidR="00164E32" w:rsidRPr="00164E32" w:rsidRDefault="00164E32" w:rsidP="00164E32">
      <w:pPr>
        <w:widowControl w:val="0"/>
        <w:tabs>
          <w:tab w:val="left" w:pos="1440"/>
        </w:tabs>
        <w:suppressAutoHyphens/>
        <w:jc w:val="both"/>
        <w:rPr>
          <w:b/>
          <w:sz w:val="28"/>
          <w:szCs w:val="28"/>
          <w:lang w:eastAsia="ru-RU"/>
        </w:rPr>
      </w:pPr>
      <w:bookmarkStart w:id="1" w:name="_GoBack"/>
      <w:bookmarkEnd w:id="1"/>
      <w:r w:rsidRPr="00164E32">
        <w:rPr>
          <w:b/>
          <w:sz w:val="28"/>
          <w:szCs w:val="28"/>
          <w:lang w:eastAsia="ru-RU"/>
        </w:rPr>
        <w:t xml:space="preserve">Заступник міського голови – </w:t>
      </w:r>
    </w:p>
    <w:p w:rsidR="00164E32" w:rsidRPr="00164E32" w:rsidRDefault="00164E32" w:rsidP="00164E32">
      <w:pPr>
        <w:widowControl w:val="0"/>
        <w:tabs>
          <w:tab w:val="left" w:pos="1440"/>
        </w:tabs>
        <w:suppressAutoHyphens/>
        <w:jc w:val="both"/>
        <w:rPr>
          <w:b/>
          <w:sz w:val="28"/>
          <w:szCs w:val="28"/>
          <w:lang w:eastAsia="ru-RU"/>
        </w:rPr>
      </w:pPr>
      <w:r w:rsidRPr="00164E32">
        <w:rPr>
          <w:b/>
          <w:sz w:val="28"/>
          <w:szCs w:val="28"/>
          <w:lang w:eastAsia="ru-RU"/>
        </w:rPr>
        <w:t>директор Департаменту фінансів</w:t>
      </w:r>
    </w:p>
    <w:p w:rsidR="00164E32" w:rsidRPr="00164E32" w:rsidRDefault="00164E32" w:rsidP="00164E32">
      <w:pPr>
        <w:widowControl w:val="0"/>
        <w:tabs>
          <w:tab w:val="left" w:pos="1440"/>
        </w:tabs>
        <w:suppressAutoHyphens/>
        <w:jc w:val="both"/>
        <w:rPr>
          <w:b/>
          <w:sz w:val="28"/>
          <w:szCs w:val="28"/>
          <w:lang w:eastAsia="ru-RU"/>
        </w:rPr>
      </w:pPr>
      <w:r w:rsidRPr="00164E32">
        <w:rPr>
          <w:b/>
          <w:sz w:val="28"/>
          <w:szCs w:val="28"/>
          <w:lang w:eastAsia="ru-RU"/>
        </w:rPr>
        <w:t xml:space="preserve">виконавчого комітету </w:t>
      </w:r>
    </w:p>
    <w:p w:rsidR="00164E32" w:rsidRPr="00164E32" w:rsidRDefault="00164E32" w:rsidP="00164E32">
      <w:pPr>
        <w:widowControl w:val="0"/>
        <w:tabs>
          <w:tab w:val="left" w:pos="1440"/>
          <w:tab w:val="left" w:pos="7088"/>
        </w:tabs>
        <w:suppressAutoHyphens/>
        <w:jc w:val="both"/>
        <w:rPr>
          <w:b/>
          <w:sz w:val="28"/>
          <w:szCs w:val="28"/>
          <w:lang w:eastAsia="ru-RU"/>
        </w:rPr>
      </w:pPr>
      <w:r w:rsidRPr="00164E32">
        <w:rPr>
          <w:b/>
          <w:sz w:val="28"/>
          <w:szCs w:val="28"/>
          <w:lang w:eastAsia="ru-RU"/>
        </w:rPr>
        <w:t>Кременчуцької міської ради</w:t>
      </w:r>
    </w:p>
    <w:p w:rsidR="00164E32" w:rsidRPr="00164E32" w:rsidRDefault="00164E32" w:rsidP="00164E32">
      <w:pPr>
        <w:widowControl w:val="0"/>
        <w:tabs>
          <w:tab w:val="left" w:pos="1440"/>
          <w:tab w:val="left" w:pos="7088"/>
        </w:tabs>
        <w:suppressAutoHyphens/>
        <w:rPr>
          <w:b/>
          <w:sz w:val="28"/>
          <w:szCs w:val="28"/>
          <w:lang w:eastAsia="ru-RU"/>
        </w:rPr>
      </w:pPr>
      <w:r w:rsidRPr="00164E32">
        <w:rPr>
          <w:b/>
          <w:sz w:val="28"/>
          <w:szCs w:val="28"/>
          <w:lang w:eastAsia="ru-RU"/>
        </w:rPr>
        <w:t>Полтавської області                                                                Т.Г.НЕІЛЕНКО</w:t>
      </w:r>
    </w:p>
    <w:sectPr w:rsidR="00164E32" w:rsidRPr="00164E32" w:rsidSect="003D68B2">
      <w:footerReference w:type="default" r:id="rId13"/>
      <w:pgSz w:w="11906" w:h="16838"/>
      <w:pgMar w:top="567" w:right="566"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E46" w:rsidRDefault="00803E46" w:rsidP="003D68B2">
      <w:r>
        <w:separator/>
      </w:r>
    </w:p>
  </w:endnote>
  <w:endnote w:type="continuationSeparator" w:id="0">
    <w:p w:rsidR="00803E46" w:rsidRDefault="00803E46" w:rsidP="003D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11">
    <w:altName w:val="Arial"/>
    <w:charset w:val="CC"/>
    <w:family w:val="swiss"/>
    <w:pitch w:val="variable"/>
  </w:font>
  <w:font w:name="Times New Roman1">
    <w:altName w:val="Times New Roman"/>
    <w:charset w:val="CC"/>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864764"/>
      <w:docPartObj>
        <w:docPartGallery w:val="Page Numbers (Bottom of Page)"/>
        <w:docPartUnique/>
      </w:docPartObj>
    </w:sdtPr>
    <w:sdtEndPr/>
    <w:sdtContent>
      <w:p w:rsidR="003D68B2" w:rsidRDefault="003D68B2">
        <w:pPr>
          <w:pStyle w:val="a7"/>
          <w:jc w:val="right"/>
        </w:pPr>
        <w:r>
          <w:fldChar w:fldCharType="begin"/>
        </w:r>
        <w:r>
          <w:instrText>PAGE   \* MERGEFORMAT</w:instrText>
        </w:r>
        <w:r>
          <w:fldChar w:fldCharType="separate"/>
        </w:r>
        <w:r w:rsidR="002B3E96" w:rsidRPr="002B3E96">
          <w:rPr>
            <w:noProof/>
            <w:lang w:val="ru-RU"/>
          </w:rPr>
          <w:t>15</w:t>
        </w:r>
        <w:r>
          <w:fldChar w:fldCharType="end"/>
        </w:r>
      </w:p>
    </w:sdtContent>
  </w:sdt>
  <w:p w:rsidR="003D68B2" w:rsidRDefault="003D68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E46" w:rsidRDefault="00803E46" w:rsidP="003D68B2">
      <w:r>
        <w:separator/>
      </w:r>
    </w:p>
  </w:footnote>
  <w:footnote w:type="continuationSeparator" w:id="0">
    <w:p w:rsidR="00803E46" w:rsidRDefault="00803E46" w:rsidP="003D6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558CA"/>
    <w:multiLevelType w:val="hybridMultilevel"/>
    <w:tmpl w:val="D9D451C4"/>
    <w:lvl w:ilvl="0" w:tplc="9BA8081E">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37EC0923"/>
    <w:multiLevelType w:val="hybridMultilevel"/>
    <w:tmpl w:val="3A2C02C8"/>
    <w:lvl w:ilvl="0" w:tplc="349A5A5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39721508"/>
    <w:multiLevelType w:val="hybridMultilevel"/>
    <w:tmpl w:val="7946DD98"/>
    <w:lvl w:ilvl="0" w:tplc="9BA8081E">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6AB31826"/>
    <w:multiLevelType w:val="hybridMultilevel"/>
    <w:tmpl w:val="9BBE64D4"/>
    <w:lvl w:ilvl="0" w:tplc="349A5A58">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7614403B"/>
    <w:multiLevelType w:val="hybridMultilevel"/>
    <w:tmpl w:val="6270CDB0"/>
    <w:lvl w:ilvl="0" w:tplc="349A5A58">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7E235A09"/>
    <w:multiLevelType w:val="hybridMultilevel"/>
    <w:tmpl w:val="54521F90"/>
    <w:lvl w:ilvl="0" w:tplc="349A5A58">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5"/>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5CB"/>
    <w:rsid w:val="00164E32"/>
    <w:rsid w:val="002B3E96"/>
    <w:rsid w:val="00330B9C"/>
    <w:rsid w:val="003D68B2"/>
    <w:rsid w:val="004342A8"/>
    <w:rsid w:val="0054077A"/>
    <w:rsid w:val="005B5DD6"/>
    <w:rsid w:val="005E6794"/>
    <w:rsid w:val="00663380"/>
    <w:rsid w:val="00771D5D"/>
    <w:rsid w:val="007C35E5"/>
    <w:rsid w:val="00803E46"/>
    <w:rsid w:val="008D7B56"/>
    <w:rsid w:val="009471E3"/>
    <w:rsid w:val="00AC1895"/>
    <w:rsid w:val="00B12991"/>
    <w:rsid w:val="00B12DA0"/>
    <w:rsid w:val="00C4660A"/>
    <w:rsid w:val="00EE35CB"/>
    <w:rsid w:val="00FC1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8B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8B2"/>
    <w:rPr>
      <w:rFonts w:ascii="Tahoma" w:hAnsi="Tahoma" w:cs="Tahoma"/>
      <w:sz w:val="16"/>
      <w:szCs w:val="16"/>
    </w:rPr>
  </w:style>
  <w:style w:type="character" w:customStyle="1" w:styleId="a4">
    <w:name w:val="Текст выноски Знак"/>
    <w:basedOn w:val="a0"/>
    <w:link w:val="a3"/>
    <w:uiPriority w:val="99"/>
    <w:semiHidden/>
    <w:rsid w:val="003D68B2"/>
    <w:rPr>
      <w:rFonts w:ascii="Tahoma" w:eastAsia="Times New Roman" w:hAnsi="Tahoma" w:cs="Tahoma"/>
      <w:sz w:val="16"/>
      <w:szCs w:val="16"/>
      <w:lang w:val="uk-UA" w:eastAsia="uk-UA"/>
    </w:rPr>
  </w:style>
  <w:style w:type="paragraph" w:styleId="a5">
    <w:name w:val="header"/>
    <w:basedOn w:val="a"/>
    <w:link w:val="a6"/>
    <w:uiPriority w:val="99"/>
    <w:unhideWhenUsed/>
    <w:rsid w:val="003D68B2"/>
    <w:pPr>
      <w:tabs>
        <w:tab w:val="center" w:pos="4677"/>
        <w:tab w:val="right" w:pos="9355"/>
      </w:tabs>
    </w:pPr>
  </w:style>
  <w:style w:type="character" w:customStyle="1" w:styleId="a6">
    <w:name w:val="Верхний колонтитул Знак"/>
    <w:basedOn w:val="a0"/>
    <w:link w:val="a5"/>
    <w:uiPriority w:val="99"/>
    <w:rsid w:val="003D68B2"/>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3D68B2"/>
    <w:pPr>
      <w:tabs>
        <w:tab w:val="center" w:pos="4677"/>
        <w:tab w:val="right" w:pos="9355"/>
      </w:tabs>
    </w:pPr>
  </w:style>
  <w:style w:type="character" w:customStyle="1" w:styleId="a8">
    <w:name w:val="Нижний колонтитул Знак"/>
    <w:basedOn w:val="a0"/>
    <w:link w:val="a7"/>
    <w:uiPriority w:val="99"/>
    <w:rsid w:val="003D68B2"/>
    <w:rPr>
      <w:rFonts w:ascii="Times New Roman" w:eastAsia="Times New Roman" w:hAnsi="Times New Roman" w:cs="Times New Roman"/>
      <w:sz w:val="24"/>
      <w:szCs w:val="24"/>
      <w:lang w:val="uk-UA" w:eastAsia="uk-UA"/>
    </w:rPr>
  </w:style>
  <w:style w:type="paragraph" w:customStyle="1" w:styleId="2">
    <w:name w:val="Знак Знак2 Знак Знак"/>
    <w:basedOn w:val="a"/>
    <w:rsid w:val="00164E32"/>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8B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8B2"/>
    <w:rPr>
      <w:rFonts w:ascii="Tahoma" w:hAnsi="Tahoma" w:cs="Tahoma"/>
      <w:sz w:val="16"/>
      <w:szCs w:val="16"/>
    </w:rPr>
  </w:style>
  <w:style w:type="character" w:customStyle="1" w:styleId="a4">
    <w:name w:val="Текст выноски Знак"/>
    <w:basedOn w:val="a0"/>
    <w:link w:val="a3"/>
    <w:uiPriority w:val="99"/>
    <w:semiHidden/>
    <w:rsid w:val="003D68B2"/>
    <w:rPr>
      <w:rFonts w:ascii="Tahoma" w:eastAsia="Times New Roman" w:hAnsi="Tahoma" w:cs="Tahoma"/>
      <w:sz w:val="16"/>
      <w:szCs w:val="16"/>
      <w:lang w:val="uk-UA" w:eastAsia="uk-UA"/>
    </w:rPr>
  </w:style>
  <w:style w:type="paragraph" w:styleId="a5">
    <w:name w:val="header"/>
    <w:basedOn w:val="a"/>
    <w:link w:val="a6"/>
    <w:uiPriority w:val="99"/>
    <w:unhideWhenUsed/>
    <w:rsid w:val="003D68B2"/>
    <w:pPr>
      <w:tabs>
        <w:tab w:val="center" w:pos="4677"/>
        <w:tab w:val="right" w:pos="9355"/>
      </w:tabs>
    </w:pPr>
  </w:style>
  <w:style w:type="character" w:customStyle="1" w:styleId="a6">
    <w:name w:val="Верхний колонтитул Знак"/>
    <w:basedOn w:val="a0"/>
    <w:link w:val="a5"/>
    <w:uiPriority w:val="99"/>
    <w:rsid w:val="003D68B2"/>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3D68B2"/>
    <w:pPr>
      <w:tabs>
        <w:tab w:val="center" w:pos="4677"/>
        <w:tab w:val="right" w:pos="9355"/>
      </w:tabs>
    </w:pPr>
  </w:style>
  <w:style w:type="character" w:customStyle="1" w:styleId="a8">
    <w:name w:val="Нижний колонтитул Знак"/>
    <w:basedOn w:val="a0"/>
    <w:link w:val="a7"/>
    <w:uiPriority w:val="99"/>
    <w:rsid w:val="003D68B2"/>
    <w:rPr>
      <w:rFonts w:ascii="Times New Roman" w:eastAsia="Times New Roman" w:hAnsi="Times New Roman" w:cs="Times New Roman"/>
      <w:sz w:val="24"/>
      <w:szCs w:val="24"/>
      <w:lang w:val="uk-UA" w:eastAsia="uk-UA"/>
    </w:rPr>
  </w:style>
  <w:style w:type="paragraph" w:customStyle="1" w:styleId="2">
    <w:name w:val="Знак Знак2 Знак Знак"/>
    <w:basedOn w:val="a"/>
    <w:rsid w:val="00164E32"/>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8454">
      <w:bodyDiv w:val="1"/>
      <w:marLeft w:val="0"/>
      <w:marRight w:val="0"/>
      <w:marTop w:val="0"/>
      <w:marBottom w:val="0"/>
      <w:divBdr>
        <w:top w:val="none" w:sz="0" w:space="0" w:color="auto"/>
        <w:left w:val="none" w:sz="0" w:space="0" w:color="auto"/>
        <w:bottom w:val="none" w:sz="0" w:space="0" w:color="auto"/>
        <w:right w:val="none" w:sz="0" w:space="0" w:color="auto"/>
      </w:divBdr>
    </w:div>
    <w:div w:id="7492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83" b="1" i="0" u="none" strike="noStrike" baseline="0">
                <a:solidFill>
                  <a:srgbClr val="000000"/>
                </a:solidFill>
                <a:latin typeface="Times New Roman"/>
                <a:ea typeface="Times New Roman"/>
                <a:cs typeface="Times New Roman"/>
              </a:defRPr>
            </a:pPr>
            <a:r>
              <a:rPr lang="ru-RU"/>
              <a:t>Фактичні надходження до спеціального фонду  
міського бюджету  за І півріччя  2018 року   
та  в.п.м.р.  (без трансфертів)</a:t>
            </a:r>
          </a:p>
        </c:rich>
      </c:tx>
      <c:layout>
        <c:manualLayout>
          <c:xMode val="edge"/>
          <c:yMode val="edge"/>
          <c:x val="0.22632423756019263"/>
          <c:y val="2.0316027088036117E-2"/>
        </c:manualLayout>
      </c:layout>
      <c:overlay val="0"/>
      <c:spPr>
        <a:noFill/>
        <a:ln w="27158">
          <a:noFill/>
        </a:ln>
      </c:spPr>
    </c:title>
    <c:autoTitleDeleted val="0"/>
    <c:view3D>
      <c:rotX val="15"/>
      <c:hPercent val="61"/>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0.16693418940609953"/>
          <c:y val="0.2054176072234763"/>
          <c:w val="0.7576243980738363"/>
          <c:h val="0.60948081264108356"/>
        </c:manualLayout>
      </c:layout>
      <c:bar3DChart>
        <c:barDir val="col"/>
        <c:grouping val="clustered"/>
        <c:varyColors val="0"/>
        <c:ser>
          <c:idx val="0"/>
          <c:order val="0"/>
          <c:tx>
            <c:strRef>
              <c:f>Sheet1!$A$2</c:f>
              <c:strCache>
                <c:ptCount val="1"/>
                <c:pt idx="0">
                  <c:v>І півріччя 2017 року</c:v>
                </c:pt>
              </c:strCache>
            </c:strRef>
          </c:tx>
          <c:spPr>
            <a:solidFill>
              <a:srgbClr val="9999FF"/>
            </a:solidFill>
            <a:ln w="13579">
              <a:solidFill>
                <a:srgbClr val="000000"/>
              </a:solidFill>
              <a:prstDash val="solid"/>
            </a:ln>
          </c:spPr>
          <c:invertIfNegative val="0"/>
          <c:dLbls>
            <c:dLbl>
              <c:idx val="0"/>
              <c:layout>
                <c:manualLayout>
                  <c:x val="6.5698865763467087E-3"/>
                  <c:y val="-4.2183605924906692E-2"/>
                </c:manualLayout>
              </c:layout>
              <c:showLegendKey val="0"/>
              <c:showVal val="1"/>
              <c:showCatName val="0"/>
              <c:showSerName val="0"/>
              <c:showPercent val="0"/>
              <c:showBubbleSize val="0"/>
            </c:dLbl>
            <c:numFmt formatCode="#,##0.000" sourceLinked="0"/>
            <c:spPr>
              <a:noFill/>
              <a:ln w="27158">
                <a:noFill/>
              </a:ln>
            </c:spPr>
            <c:txPr>
              <a:bodyPr/>
              <a:lstStyle/>
              <a:p>
                <a:pPr>
                  <a:defRPr sz="1497"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31192.674999999999</c:v>
                </c:pt>
              </c:numCache>
            </c:numRef>
          </c:val>
          <c:shape val="cone"/>
        </c:ser>
        <c:ser>
          <c:idx val="1"/>
          <c:order val="1"/>
          <c:tx>
            <c:strRef>
              <c:f>Sheet1!$A$3</c:f>
              <c:strCache>
                <c:ptCount val="1"/>
                <c:pt idx="0">
                  <c:v>І півріччя 2018 року</c:v>
                </c:pt>
              </c:strCache>
            </c:strRef>
          </c:tx>
          <c:spPr>
            <a:pattFill prst="wdUpDiag">
              <a:fgClr>
                <a:srgbClr xmlns:mc="http://schemas.openxmlformats.org/markup-compatibility/2006" xmlns:a14="http://schemas.microsoft.com/office/drawing/2010/main" val="993366" mc:Ignorable="a14" a14:legacySpreadsheetColorIndex="25"/>
              </a:fgClr>
              <a:bgClr>
                <a:srgbClr xmlns:mc="http://schemas.openxmlformats.org/markup-compatibility/2006" xmlns:a14="http://schemas.microsoft.com/office/drawing/2010/main" val="FFFFFF" mc:Ignorable="a14" a14:legacySpreadsheetColorIndex="9"/>
              </a:bgClr>
            </a:pattFill>
            <a:ln w="13579">
              <a:solidFill>
                <a:srgbClr val="000000"/>
              </a:solidFill>
              <a:prstDash val="solid"/>
            </a:ln>
          </c:spPr>
          <c:invertIfNegative val="0"/>
          <c:dLbls>
            <c:dLbl>
              <c:idx val="0"/>
              <c:layout>
                <c:manualLayout>
                  <c:x val="9.2702565507698134E-2"/>
                  <c:y val="-6.0005521534612305E-2"/>
                </c:manualLayout>
              </c:layout>
              <c:showLegendKey val="0"/>
              <c:showVal val="1"/>
              <c:showCatName val="0"/>
              <c:showSerName val="0"/>
              <c:showPercent val="0"/>
              <c:showBubbleSize val="0"/>
            </c:dLbl>
            <c:numFmt formatCode="#,##0.000" sourceLinked="0"/>
            <c:spPr>
              <a:noFill/>
              <a:ln w="27158">
                <a:noFill/>
              </a:ln>
            </c:spPr>
            <c:txPr>
              <a:bodyPr/>
              <a:lstStyle/>
              <a:p>
                <a:pPr>
                  <a:defRPr sz="1524"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31954.503000000001</c:v>
                </c:pt>
              </c:numCache>
            </c:numRef>
          </c:val>
          <c:shape val="cone"/>
        </c:ser>
        <c:dLbls>
          <c:showLegendKey val="0"/>
          <c:showVal val="0"/>
          <c:showCatName val="0"/>
          <c:showSerName val="0"/>
          <c:showPercent val="0"/>
          <c:showBubbleSize val="0"/>
        </c:dLbls>
        <c:gapWidth val="70"/>
        <c:gapDepth val="0"/>
        <c:shape val="cylinder"/>
        <c:axId val="78744960"/>
        <c:axId val="78772864"/>
        <c:axId val="0"/>
      </c:bar3DChart>
      <c:catAx>
        <c:axId val="78744960"/>
        <c:scaling>
          <c:orientation val="minMax"/>
        </c:scaling>
        <c:delete val="0"/>
        <c:axPos val="b"/>
        <c:numFmt formatCode="General" sourceLinked="1"/>
        <c:majorTickMark val="out"/>
        <c:minorTickMark val="none"/>
        <c:tickLblPos val="low"/>
        <c:spPr>
          <a:ln w="13579">
            <a:solidFill>
              <a:srgbClr val="FFFFFF"/>
            </a:solidFill>
            <a:prstDash val="solid"/>
          </a:ln>
        </c:spPr>
        <c:txPr>
          <a:bodyPr rot="0" vert="horz"/>
          <a:lstStyle/>
          <a:p>
            <a:pPr>
              <a:defRPr sz="2272" b="1" i="0" u="none" strike="noStrike" baseline="0">
                <a:solidFill>
                  <a:srgbClr val="000000"/>
                </a:solidFill>
                <a:latin typeface="Calibri"/>
                <a:ea typeface="Calibri"/>
                <a:cs typeface="Calibri"/>
              </a:defRPr>
            </a:pPr>
            <a:endParaRPr lang="ru-RU"/>
          </a:p>
        </c:txPr>
        <c:crossAx val="78772864"/>
        <c:crosses val="autoZero"/>
        <c:auto val="1"/>
        <c:lblAlgn val="ctr"/>
        <c:lblOffset val="100"/>
        <c:tickLblSkip val="1"/>
        <c:tickMarkSkip val="1"/>
        <c:noMultiLvlLbl val="0"/>
      </c:catAx>
      <c:valAx>
        <c:axId val="78772864"/>
        <c:scaling>
          <c:orientation val="minMax"/>
          <c:min val="13000"/>
        </c:scaling>
        <c:delete val="1"/>
        <c:axPos val="l"/>
        <c:numFmt formatCode="General" sourceLinked="1"/>
        <c:majorTickMark val="out"/>
        <c:minorTickMark val="none"/>
        <c:tickLblPos val="nextTo"/>
        <c:crossAx val="78744960"/>
        <c:crosses val="autoZero"/>
        <c:crossBetween val="between"/>
      </c:valAx>
      <c:spPr>
        <a:noFill/>
        <a:ln w="27158">
          <a:noFill/>
        </a:ln>
      </c:spPr>
    </c:plotArea>
    <c:legend>
      <c:legendPos val="b"/>
      <c:layout>
        <c:manualLayout>
          <c:xMode val="edge"/>
          <c:yMode val="edge"/>
          <c:x val="0.16693418940609953"/>
          <c:y val="0.88713318284424381"/>
          <c:w val="0.7126805778491172"/>
          <c:h val="5.8690744920993229E-2"/>
        </c:manualLayout>
      </c:layout>
      <c:overlay val="0"/>
      <c:spPr>
        <a:solidFill>
          <a:srgbClr val="FFFFFF"/>
        </a:solidFill>
        <a:ln w="3395">
          <a:solidFill>
            <a:srgbClr val="000000"/>
          </a:solidFill>
          <a:prstDash val="solid"/>
        </a:ln>
      </c:spPr>
      <c:txPr>
        <a:bodyPr/>
        <a:lstStyle/>
        <a:p>
          <a:pPr>
            <a:defRPr sz="1176"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w="9525" cap="flat" cmpd="sng" algn="ctr">
      <a:solidFill>
        <a:srgbClr val="000000"/>
      </a:solidFill>
      <a:prstDash val="solid"/>
      <a:miter lim="800000"/>
      <a:headEnd type="none" w="med" len="med"/>
      <a:tailEnd type="none" w="med" len="med"/>
    </a:ln>
  </c:spPr>
  <c:txPr>
    <a:bodyPr/>
    <a:lstStyle/>
    <a:p>
      <a:pPr>
        <a:defRPr sz="1925"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5091</Words>
  <Characters>29022</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5</cp:revision>
  <cp:lastPrinted>2018-08-23T07:36:00Z</cp:lastPrinted>
  <dcterms:created xsi:type="dcterms:W3CDTF">2018-08-21T13:25:00Z</dcterms:created>
  <dcterms:modified xsi:type="dcterms:W3CDTF">2018-08-23T07:37:00Z</dcterms:modified>
</cp:coreProperties>
</file>