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39BDD" w14:textId="77777777" w:rsidR="009D2571" w:rsidRDefault="002211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14:paraId="6B13CCF1" w14:textId="4C2A6AB5" w:rsidR="0013688D" w:rsidRDefault="002211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проєкту рішення</w:t>
      </w:r>
      <w:r w:rsidR="0013688D">
        <w:rPr>
          <w:b/>
          <w:sz w:val="28"/>
          <w:szCs w:val="28"/>
          <w:lang w:val="uk-UA"/>
        </w:rPr>
        <w:t xml:space="preserve"> </w:t>
      </w:r>
      <w:r w:rsidR="0084640C" w:rsidRPr="00482D99">
        <w:rPr>
          <w:b/>
          <w:sz w:val="28"/>
          <w:szCs w:val="28"/>
        </w:rPr>
        <w:t>____</w:t>
      </w:r>
      <w:r w:rsidR="0013688D">
        <w:rPr>
          <w:b/>
          <w:sz w:val="28"/>
          <w:szCs w:val="28"/>
          <w:lang w:val="uk-UA"/>
        </w:rPr>
        <w:t xml:space="preserve"> </w:t>
      </w:r>
      <w:r w:rsidR="00EB19F2">
        <w:rPr>
          <w:b/>
          <w:sz w:val="28"/>
          <w:szCs w:val="28"/>
          <w:lang w:val="uk-UA"/>
        </w:rPr>
        <w:t>липня</w:t>
      </w:r>
      <w:r w:rsidR="0013688D">
        <w:rPr>
          <w:b/>
          <w:sz w:val="28"/>
          <w:szCs w:val="28"/>
          <w:lang w:val="uk-UA"/>
        </w:rPr>
        <w:t xml:space="preserve"> 202</w:t>
      </w:r>
      <w:r w:rsidR="00A50284">
        <w:rPr>
          <w:b/>
          <w:sz w:val="28"/>
          <w:szCs w:val="28"/>
          <w:lang w:val="uk-UA"/>
        </w:rPr>
        <w:t>5</w:t>
      </w:r>
      <w:r w:rsidR="0013688D">
        <w:rPr>
          <w:b/>
          <w:sz w:val="28"/>
          <w:szCs w:val="28"/>
          <w:lang w:val="uk-UA"/>
        </w:rPr>
        <w:t xml:space="preserve"> року </w:t>
      </w:r>
    </w:p>
    <w:p w14:paraId="574F4AA5" w14:textId="72E234E3" w:rsidR="009D2571" w:rsidRDefault="002211C9">
      <w:pPr>
        <w:jc w:val="center"/>
        <w:rPr>
          <w:rFonts w:eastAsia="Times New Roman"/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/>
        </w:rPr>
        <w:t>«</w:t>
      </w:r>
      <w:r>
        <w:rPr>
          <w:rFonts w:eastAsia="Times New Roman"/>
          <w:b/>
          <w:sz w:val="28"/>
          <w:szCs w:val="28"/>
          <w:lang w:eastAsia="ru-RU"/>
        </w:rPr>
        <w:t xml:space="preserve">Про </w:t>
      </w:r>
      <w:r>
        <w:rPr>
          <w:rFonts w:eastAsia="Times New Roman"/>
          <w:b/>
          <w:sz w:val="28"/>
          <w:szCs w:val="28"/>
          <w:lang w:val="uk-UA" w:eastAsia="ru-RU"/>
        </w:rPr>
        <w:t>внесення змін до рішення Кременчуцької</w:t>
      </w:r>
    </w:p>
    <w:p w14:paraId="17EF8239" w14:textId="77777777" w:rsidR="009D2571" w:rsidRDefault="002211C9">
      <w:pPr>
        <w:suppressAutoHyphens w:val="0"/>
        <w:jc w:val="center"/>
        <w:rPr>
          <w:rFonts w:eastAsia="Times New Roman"/>
          <w:b/>
          <w:color w:val="000000"/>
          <w:sz w:val="28"/>
          <w:szCs w:val="28"/>
          <w:lang w:val="uk-UA" w:eastAsia="ru-RU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міської ради Кременчуцького району Полтавської області </w:t>
      </w:r>
    </w:p>
    <w:p w14:paraId="5A6375DC" w14:textId="3DEB3B0B" w:rsidR="009D2571" w:rsidRDefault="002211C9">
      <w:pPr>
        <w:suppressAutoHyphens w:val="0"/>
        <w:jc w:val="center"/>
        <w:rPr>
          <w:rFonts w:eastAsia="Times New Roman"/>
          <w:b/>
          <w:color w:val="000000"/>
          <w:sz w:val="28"/>
          <w:szCs w:val="28"/>
          <w:lang w:val="uk-UA" w:eastAsia="ru-RU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>від 2</w:t>
      </w:r>
      <w:r w:rsidR="00A50284">
        <w:rPr>
          <w:rFonts w:eastAsia="Times New Roman"/>
          <w:b/>
          <w:color w:val="000000"/>
          <w:sz w:val="28"/>
          <w:szCs w:val="28"/>
          <w:lang w:val="uk-UA" w:eastAsia="ru-RU"/>
        </w:rPr>
        <w:t>9</w:t>
      </w: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 листопада 202</w:t>
      </w:r>
      <w:r w:rsidR="00A50284">
        <w:rPr>
          <w:rFonts w:eastAsia="Times New Roman"/>
          <w:b/>
          <w:color w:val="000000"/>
          <w:sz w:val="28"/>
          <w:szCs w:val="28"/>
          <w:lang w:val="uk-UA" w:eastAsia="ru-RU"/>
        </w:rPr>
        <w:t>4</w:t>
      </w: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 року </w:t>
      </w:r>
    </w:p>
    <w:p w14:paraId="34AD58C2" w14:textId="77777777" w:rsidR="009D2571" w:rsidRDefault="002211C9">
      <w:pPr>
        <w:suppressAutoHyphens w:val="0"/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«Про затвердження Програми </w:t>
      </w:r>
      <w:r>
        <w:rPr>
          <w:rFonts w:eastAsia="Times New Roman"/>
          <w:b/>
          <w:bCs/>
          <w:sz w:val="28"/>
          <w:szCs w:val="28"/>
          <w:lang w:val="uk-UA" w:eastAsia="ru-RU"/>
        </w:rPr>
        <w:t xml:space="preserve">діяльності та розвитку </w:t>
      </w:r>
    </w:p>
    <w:p w14:paraId="7932CA2A" w14:textId="61985611" w:rsidR="009D2571" w:rsidRDefault="002211C9">
      <w:pPr>
        <w:suppressAutoHyphens w:val="0"/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>
        <w:rPr>
          <w:rFonts w:eastAsia="Times New Roman"/>
          <w:b/>
          <w:bCs/>
          <w:sz w:val="28"/>
          <w:szCs w:val="28"/>
          <w:lang w:val="uk-UA" w:eastAsia="ru-RU"/>
        </w:rPr>
        <w:t>КП «Благоустрій Кременчука» на 202</w:t>
      </w:r>
      <w:r w:rsidR="00A50284">
        <w:rPr>
          <w:rFonts w:eastAsia="Times New Roman"/>
          <w:b/>
          <w:bCs/>
          <w:sz w:val="28"/>
          <w:szCs w:val="28"/>
          <w:lang w:val="uk-UA" w:eastAsia="ru-RU"/>
        </w:rPr>
        <w:t>5</w:t>
      </w:r>
      <w:r>
        <w:rPr>
          <w:rFonts w:eastAsia="Times New Roman"/>
          <w:b/>
          <w:bCs/>
          <w:sz w:val="28"/>
          <w:szCs w:val="28"/>
          <w:lang w:val="uk-UA" w:eastAsia="ru-RU"/>
        </w:rPr>
        <w:t>-202</w:t>
      </w:r>
      <w:r w:rsidR="00A50284">
        <w:rPr>
          <w:rFonts w:eastAsia="Times New Roman"/>
          <w:b/>
          <w:bCs/>
          <w:sz w:val="28"/>
          <w:szCs w:val="28"/>
          <w:lang w:val="uk-UA" w:eastAsia="ru-RU"/>
        </w:rPr>
        <w:t>7</w:t>
      </w:r>
      <w:r>
        <w:rPr>
          <w:rFonts w:eastAsia="Times New Roman"/>
          <w:b/>
          <w:bCs/>
          <w:sz w:val="28"/>
          <w:szCs w:val="28"/>
          <w:lang w:val="uk-UA" w:eastAsia="ru-RU"/>
        </w:rPr>
        <w:t xml:space="preserve"> роки»</w:t>
      </w:r>
    </w:p>
    <w:p w14:paraId="20AAB159" w14:textId="77777777" w:rsidR="00BA0222" w:rsidRDefault="00BA0222">
      <w:pPr>
        <w:jc w:val="center"/>
        <w:rPr>
          <w:sz w:val="28"/>
          <w:szCs w:val="28"/>
          <w:lang w:val="uk-UA"/>
        </w:rPr>
      </w:pPr>
    </w:p>
    <w:p w14:paraId="6A32A9D4" w14:textId="303A4D38" w:rsidR="00EB19F2" w:rsidRDefault="00EB19F2" w:rsidP="00C64151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>КП «Благоустрій Кременчука»</w:t>
      </w:r>
      <w:r w:rsidR="005720F6">
        <w:rPr>
          <w:sz w:val="28"/>
          <w:szCs w:val="28"/>
        </w:rPr>
        <w:t xml:space="preserve"> - </w:t>
      </w:r>
      <w:r>
        <w:rPr>
          <w:sz w:val="28"/>
          <w:szCs w:val="28"/>
        </w:rPr>
        <w:t>спеціалізоване підприємство, діяльність якого спрямована на виконання робіт з благоустрою міста,  розвиток зелених зон, належне утриманням</w:t>
      </w:r>
      <w:r w:rsidRPr="00BA09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закріплених територій та зелених насаджень, своєчасне знесення аварійних, сухостійних та фаутних дерев, здійснення інших видів робіт з благоустрою міста Кременчука. </w:t>
      </w:r>
    </w:p>
    <w:p w14:paraId="4304EAFC" w14:textId="39A0F249" w:rsidR="00EB19F2" w:rsidRDefault="00EB19F2" w:rsidP="00C64151">
      <w:pPr>
        <w:pStyle w:val="a7"/>
        <w:ind w:firstLine="567"/>
        <w:rPr>
          <w:sz w:val="28"/>
          <w:szCs w:val="28"/>
        </w:rPr>
      </w:pPr>
      <w:r w:rsidRPr="00EB19F2">
        <w:rPr>
          <w:sz w:val="28"/>
          <w:szCs w:val="28"/>
        </w:rPr>
        <w:t>Для виконання робіт з</w:t>
      </w:r>
      <w:r>
        <w:rPr>
          <w:sz w:val="28"/>
          <w:szCs w:val="28"/>
        </w:rPr>
        <w:t xml:space="preserve"> належного утримання</w:t>
      </w:r>
      <w:r w:rsidRPr="00BA0986">
        <w:rPr>
          <w:sz w:val="28"/>
          <w:szCs w:val="28"/>
        </w:rPr>
        <w:t xml:space="preserve"> </w:t>
      </w:r>
      <w:r>
        <w:rPr>
          <w:sz w:val="28"/>
          <w:szCs w:val="28"/>
        </w:rPr>
        <w:t>закріплених територій та їх</w:t>
      </w:r>
      <w:r w:rsidRPr="00EB19F2">
        <w:rPr>
          <w:sz w:val="28"/>
          <w:szCs w:val="28"/>
        </w:rPr>
        <w:t xml:space="preserve"> благоустрою, </w:t>
      </w:r>
      <w:r>
        <w:rPr>
          <w:sz w:val="28"/>
          <w:szCs w:val="28"/>
        </w:rPr>
        <w:t>для вирощування саджанців однорічних квітів</w:t>
      </w:r>
      <w:r w:rsidRPr="00EB19F2"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>з метою соціального захисту, поліпшення матеріального стану працівників</w:t>
      </w:r>
      <w:r w:rsidR="00D21C7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C64151">
        <w:rPr>
          <w:sz w:val="28"/>
          <w:szCs w:val="28"/>
        </w:rPr>
        <w:t>К</w:t>
      </w:r>
      <w:r>
        <w:rPr>
          <w:sz w:val="28"/>
          <w:szCs w:val="28"/>
        </w:rPr>
        <w:t>П «Благоустрій Кременчука»</w:t>
      </w:r>
      <w:r w:rsidRPr="00EB19F2">
        <w:rPr>
          <w:sz w:val="28"/>
          <w:szCs w:val="28"/>
        </w:rPr>
        <w:t xml:space="preserve">, </w:t>
      </w:r>
      <w:r w:rsidRPr="000F5A02">
        <w:rPr>
          <w:sz w:val="28"/>
          <w:szCs w:val="28"/>
        </w:rPr>
        <w:t>потребує</w:t>
      </w:r>
      <w:r>
        <w:rPr>
          <w:sz w:val="28"/>
          <w:szCs w:val="28"/>
        </w:rPr>
        <w:t>мо</w:t>
      </w:r>
      <w:r w:rsidRPr="00C973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виділення </w:t>
      </w:r>
      <w:r w:rsidRPr="000F5A02">
        <w:rPr>
          <w:sz w:val="28"/>
          <w:szCs w:val="28"/>
        </w:rPr>
        <w:t>додаткових коштів в обсягах фінансування</w:t>
      </w:r>
      <w:r>
        <w:rPr>
          <w:sz w:val="28"/>
          <w:szCs w:val="28"/>
        </w:rPr>
        <w:t xml:space="preserve"> на  2025 рік в сумі </w:t>
      </w:r>
      <w:r w:rsidR="00805EA6">
        <w:rPr>
          <w:sz w:val="28"/>
          <w:szCs w:val="28"/>
        </w:rPr>
        <w:t>2 388 734</w:t>
      </w:r>
      <w:r>
        <w:rPr>
          <w:sz w:val="28"/>
          <w:szCs w:val="28"/>
        </w:rPr>
        <w:t>,00 грн.</w:t>
      </w:r>
    </w:p>
    <w:p w14:paraId="599E5A8B" w14:textId="0AEE8553" w:rsidR="0008642B" w:rsidRPr="00C731A6" w:rsidRDefault="00C64151" w:rsidP="00C64151">
      <w:pPr>
        <w:suppressAutoHyphens w:val="0"/>
        <w:ind w:firstLine="567"/>
        <w:jc w:val="both"/>
        <w:rPr>
          <w:sz w:val="28"/>
          <w:szCs w:val="28"/>
          <w:lang w:val="uk-UA"/>
        </w:rPr>
      </w:pPr>
      <w:r w:rsidRPr="00C64151">
        <w:rPr>
          <w:sz w:val="28"/>
          <w:szCs w:val="28"/>
          <w:lang w:val="uk-UA"/>
        </w:rPr>
        <w:t>В</w:t>
      </w:r>
      <w:r w:rsidR="00FD2A08" w:rsidRPr="00C64151">
        <w:rPr>
          <w:sz w:val="28"/>
          <w:szCs w:val="28"/>
          <w:lang w:val="uk-UA"/>
        </w:rPr>
        <w:t xml:space="preserve"> </w:t>
      </w:r>
      <w:r w:rsidR="0044000A">
        <w:rPr>
          <w:sz w:val="28"/>
          <w:szCs w:val="28"/>
          <w:lang w:val="uk-UA"/>
        </w:rPr>
        <w:t xml:space="preserve">2025 році </w:t>
      </w:r>
      <w:r w:rsidR="00D21C7A">
        <w:rPr>
          <w:sz w:val="28"/>
          <w:szCs w:val="28"/>
          <w:lang w:val="uk-UA"/>
        </w:rPr>
        <w:t xml:space="preserve">маємо потребу в </w:t>
      </w:r>
      <w:r w:rsidR="00FD2A08" w:rsidRPr="00C64151">
        <w:rPr>
          <w:sz w:val="28"/>
          <w:szCs w:val="28"/>
          <w:lang w:val="uk-UA"/>
        </w:rPr>
        <w:t>додатково</w:t>
      </w:r>
      <w:r w:rsidR="00D21C7A">
        <w:rPr>
          <w:sz w:val="28"/>
          <w:szCs w:val="28"/>
          <w:lang w:val="uk-UA"/>
        </w:rPr>
        <w:t>му</w:t>
      </w:r>
      <w:r w:rsidR="00FD2A08" w:rsidRPr="00C64151">
        <w:rPr>
          <w:sz w:val="28"/>
          <w:szCs w:val="28"/>
          <w:lang w:val="uk-UA"/>
        </w:rPr>
        <w:t xml:space="preserve"> фінансуванн</w:t>
      </w:r>
      <w:r w:rsidR="00D21C7A">
        <w:rPr>
          <w:sz w:val="28"/>
          <w:szCs w:val="28"/>
          <w:lang w:val="uk-UA"/>
        </w:rPr>
        <w:t>і</w:t>
      </w:r>
      <w:r w:rsidR="00FD2A08" w:rsidRPr="00C64151">
        <w:rPr>
          <w:sz w:val="28"/>
          <w:szCs w:val="28"/>
          <w:lang w:val="uk-UA"/>
        </w:rPr>
        <w:t xml:space="preserve"> заходів Програми </w:t>
      </w:r>
      <w:r w:rsidR="0008642B" w:rsidRPr="00C64151">
        <w:rPr>
          <w:sz w:val="28"/>
          <w:szCs w:val="28"/>
          <w:lang w:val="uk-UA"/>
        </w:rPr>
        <w:t>діяльності та розвитку</w:t>
      </w:r>
      <w:r w:rsidR="0044000A">
        <w:rPr>
          <w:sz w:val="28"/>
          <w:szCs w:val="28"/>
          <w:lang w:val="uk-UA"/>
        </w:rPr>
        <w:t xml:space="preserve"> </w:t>
      </w:r>
      <w:r w:rsidR="0008642B" w:rsidRPr="00C64151">
        <w:rPr>
          <w:sz w:val="28"/>
          <w:szCs w:val="28"/>
          <w:lang w:val="uk-UA"/>
        </w:rPr>
        <w:t>КП</w:t>
      </w:r>
      <w:r w:rsidR="0008642B" w:rsidRPr="00C731A6">
        <w:rPr>
          <w:sz w:val="28"/>
          <w:szCs w:val="28"/>
          <w:lang w:val="uk-UA"/>
        </w:rPr>
        <w:t xml:space="preserve"> «Благоустрій Кременчука» на 2025-2027 роки</w:t>
      </w:r>
      <w:r w:rsidR="0044000A">
        <w:rPr>
          <w:sz w:val="28"/>
          <w:szCs w:val="28"/>
          <w:lang w:val="uk-UA"/>
        </w:rPr>
        <w:t xml:space="preserve">, зокрема </w:t>
      </w:r>
      <w:r w:rsidR="005720F6">
        <w:rPr>
          <w:sz w:val="28"/>
          <w:szCs w:val="28"/>
          <w:lang w:val="uk-UA"/>
        </w:rPr>
        <w:t xml:space="preserve">виникла </w:t>
      </w:r>
      <w:r w:rsidR="0044000A">
        <w:rPr>
          <w:sz w:val="28"/>
          <w:szCs w:val="28"/>
          <w:lang w:val="uk-UA"/>
        </w:rPr>
        <w:t xml:space="preserve">необхідність </w:t>
      </w:r>
      <w:r w:rsidR="005720F6">
        <w:rPr>
          <w:sz w:val="28"/>
          <w:szCs w:val="28"/>
          <w:lang w:val="uk-UA"/>
        </w:rPr>
        <w:t>у наступних змінах Програм</w:t>
      </w:r>
      <w:r w:rsidR="0044000A">
        <w:rPr>
          <w:sz w:val="28"/>
          <w:szCs w:val="28"/>
          <w:lang w:val="uk-UA"/>
        </w:rPr>
        <w:t>и</w:t>
      </w:r>
      <w:r w:rsidR="0008642B" w:rsidRPr="00C731A6">
        <w:rPr>
          <w:sz w:val="28"/>
          <w:szCs w:val="28"/>
          <w:lang w:val="uk-UA"/>
        </w:rPr>
        <w:t>:</w:t>
      </w:r>
    </w:p>
    <w:p w14:paraId="298422A0" w14:textId="1F206D53" w:rsidR="00FD2A08" w:rsidRDefault="0008642B" w:rsidP="00FD2A08">
      <w:pPr>
        <w:pStyle w:val="a7"/>
        <w:ind w:firstLine="56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І. </w:t>
      </w:r>
      <w:r w:rsidR="00FD2A08">
        <w:rPr>
          <w:sz w:val="28"/>
          <w:szCs w:val="28"/>
        </w:rPr>
        <w:t xml:space="preserve"> </w:t>
      </w:r>
      <w:r w:rsidR="005720F6">
        <w:rPr>
          <w:sz w:val="28"/>
          <w:szCs w:val="28"/>
        </w:rPr>
        <w:t>К</w:t>
      </w:r>
      <w:r w:rsidR="00FD2A08">
        <w:rPr>
          <w:sz w:val="28"/>
          <w:szCs w:val="28"/>
        </w:rPr>
        <w:t>оригуванн</w:t>
      </w:r>
      <w:r w:rsidR="005720F6">
        <w:rPr>
          <w:sz w:val="28"/>
          <w:szCs w:val="28"/>
        </w:rPr>
        <w:t>я</w:t>
      </w:r>
      <w:r w:rsidR="00FD2A08">
        <w:rPr>
          <w:sz w:val="28"/>
          <w:szCs w:val="28"/>
        </w:rPr>
        <w:t xml:space="preserve"> фінансування</w:t>
      </w:r>
      <w:r w:rsidR="00C731A6">
        <w:rPr>
          <w:sz w:val="28"/>
          <w:szCs w:val="28"/>
        </w:rPr>
        <w:t xml:space="preserve"> по наступних заходах</w:t>
      </w:r>
      <w:r w:rsidR="005720F6">
        <w:rPr>
          <w:sz w:val="28"/>
          <w:szCs w:val="28"/>
        </w:rPr>
        <w:t>:</w:t>
      </w:r>
      <w:r w:rsidR="00FD2A08">
        <w:rPr>
          <w:sz w:val="28"/>
          <w:szCs w:val="28"/>
          <w:lang w:val="ru-RU"/>
        </w:rPr>
        <w:t xml:space="preserve">   </w:t>
      </w:r>
      <w:r w:rsidR="00FD2A08" w:rsidRPr="002211C9">
        <w:rPr>
          <w:sz w:val="28"/>
          <w:szCs w:val="28"/>
          <w:lang w:val="ru-RU"/>
        </w:rPr>
        <w:t xml:space="preserve">   </w:t>
      </w:r>
    </w:p>
    <w:p w14:paraId="6EC88529" w14:textId="77777777" w:rsidR="00064434" w:rsidRDefault="00064434" w:rsidP="00FD2A08">
      <w:pPr>
        <w:pStyle w:val="a7"/>
        <w:ind w:firstLine="567"/>
        <w:rPr>
          <w:sz w:val="28"/>
          <w:szCs w:val="28"/>
        </w:rPr>
      </w:pP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1701"/>
        <w:gridCol w:w="1843"/>
        <w:gridCol w:w="2835"/>
      </w:tblGrid>
      <w:tr w:rsidR="00FB603C" w:rsidRPr="00064434" w14:paraId="42ABB99A" w14:textId="6BE825E4" w:rsidTr="00064434">
        <w:tc>
          <w:tcPr>
            <w:tcW w:w="1384" w:type="dxa"/>
            <w:vAlign w:val="center"/>
          </w:tcPr>
          <w:p w14:paraId="6DC0E7D2" w14:textId="6A16AADC" w:rsidR="00FB603C" w:rsidRPr="00064434" w:rsidRDefault="00FB603C" w:rsidP="00FD2A08">
            <w:pPr>
              <w:pStyle w:val="a7"/>
              <w:jc w:val="center"/>
            </w:pPr>
            <w:r w:rsidRPr="00064434">
              <w:t>Пункт Програми</w:t>
            </w:r>
          </w:p>
        </w:tc>
        <w:tc>
          <w:tcPr>
            <w:tcW w:w="2268" w:type="dxa"/>
            <w:vAlign w:val="center"/>
          </w:tcPr>
          <w:p w14:paraId="1C8A575B" w14:textId="77777777" w:rsidR="00FB603C" w:rsidRPr="00064434" w:rsidRDefault="00FB603C" w:rsidP="00196B6F">
            <w:pPr>
              <w:pStyle w:val="a7"/>
              <w:jc w:val="center"/>
            </w:pPr>
            <w:r w:rsidRPr="00064434">
              <w:t>Найменування заходу</w:t>
            </w:r>
          </w:p>
        </w:tc>
        <w:tc>
          <w:tcPr>
            <w:tcW w:w="1701" w:type="dxa"/>
            <w:vAlign w:val="center"/>
          </w:tcPr>
          <w:p w14:paraId="3D0CAACD" w14:textId="77777777" w:rsidR="00FB603C" w:rsidRPr="00064434" w:rsidRDefault="00FB603C" w:rsidP="00196B6F">
            <w:pPr>
              <w:pStyle w:val="a7"/>
              <w:jc w:val="center"/>
            </w:pPr>
            <w:r w:rsidRPr="00064434">
              <w:t>Збільшення +</w:t>
            </w:r>
          </w:p>
          <w:p w14:paraId="53C1B4A5" w14:textId="1B7E1243" w:rsidR="00FB603C" w:rsidRPr="00064434" w:rsidRDefault="00FB603C" w:rsidP="00196B6F">
            <w:pPr>
              <w:pStyle w:val="a7"/>
              <w:jc w:val="center"/>
            </w:pPr>
            <w:r w:rsidRPr="00064434">
              <w:t>Зменшення –</w:t>
            </w:r>
          </w:p>
          <w:p w14:paraId="0C0E5863" w14:textId="715CE59F" w:rsidR="00FB603C" w:rsidRPr="00064434" w:rsidRDefault="00FB603C" w:rsidP="00FD2A08">
            <w:pPr>
              <w:pStyle w:val="a7"/>
              <w:jc w:val="center"/>
            </w:pPr>
            <w:r w:rsidRPr="00064434">
              <w:t>грн</w:t>
            </w:r>
          </w:p>
        </w:tc>
        <w:tc>
          <w:tcPr>
            <w:tcW w:w="1843" w:type="dxa"/>
            <w:vAlign w:val="center"/>
          </w:tcPr>
          <w:p w14:paraId="624F58A5" w14:textId="19088E2E" w:rsidR="00FB603C" w:rsidRPr="00064434" w:rsidRDefault="00FB603C" w:rsidP="00FD2A08">
            <w:pPr>
              <w:pStyle w:val="a7"/>
              <w:jc w:val="center"/>
            </w:pPr>
            <w:r w:rsidRPr="00064434">
              <w:t>Орієнтовні обсяги фінансування</w:t>
            </w:r>
          </w:p>
          <w:p w14:paraId="7A858FCE" w14:textId="17CBB724" w:rsidR="00FB603C" w:rsidRPr="00064434" w:rsidRDefault="00FB603C" w:rsidP="00FD2A08">
            <w:pPr>
              <w:pStyle w:val="a7"/>
              <w:jc w:val="center"/>
            </w:pPr>
            <w:r w:rsidRPr="00064434">
              <w:t>на 2025 рік</w:t>
            </w:r>
            <w:r w:rsidR="005720F6" w:rsidRPr="00064434">
              <w:t>,</w:t>
            </w:r>
          </w:p>
          <w:p w14:paraId="2258C5DF" w14:textId="70EAD75B" w:rsidR="00FB603C" w:rsidRPr="00064434" w:rsidRDefault="00FB603C" w:rsidP="00FD2A08">
            <w:pPr>
              <w:pStyle w:val="a7"/>
              <w:jc w:val="center"/>
            </w:pPr>
            <w:r w:rsidRPr="00064434">
              <w:t>грн</w:t>
            </w:r>
          </w:p>
        </w:tc>
        <w:tc>
          <w:tcPr>
            <w:tcW w:w="2835" w:type="dxa"/>
          </w:tcPr>
          <w:p w14:paraId="6EAD28A4" w14:textId="77777777" w:rsidR="00B22287" w:rsidRDefault="00B22287" w:rsidP="00FD2A08">
            <w:pPr>
              <w:pStyle w:val="a7"/>
              <w:jc w:val="center"/>
            </w:pPr>
          </w:p>
          <w:p w14:paraId="44029476" w14:textId="23FE526F" w:rsidR="00FB603C" w:rsidRPr="00064434" w:rsidRDefault="00FB603C" w:rsidP="00FD2A08">
            <w:pPr>
              <w:pStyle w:val="a7"/>
              <w:jc w:val="center"/>
            </w:pPr>
            <w:r w:rsidRPr="00064434">
              <w:t>Пояснення</w:t>
            </w:r>
          </w:p>
        </w:tc>
      </w:tr>
      <w:tr w:rsidR="00FB603C" w:rsidRPr="00064434" w14:paraId="5D135FF8" w14:textId="32065DCB" w:rsidTr="00064434">
        <w:tc>
          <w:tcPr>
            <w:tcW w:w="1384" w:type="dxa"/>
          </w:tcPr>
          <w:p w14:paraId="50FC2E9F" w14:textId="55FAD596" w:rsidR="00FB603C" w:rsidRPr="00064434" w:rsidRDefault="00064434" w:rsidP="00064434">
            <w:pPr>
              <w:pStyle w:val="a7"/>
            </w:pPr>
            <w:r>
              <w:t xml:space="preserve">Пункт </w:t>
            </w:r>
            <w:r w:rsidR="00FB603C" w:rsidRPr="00064434">
              <w:t>21</w:t>
            </w:r>
          </w:p>
        </w:tc>
        <w:tc>
          <w:tcPr>
            <w:tcW w:w="2268" w:type="dxa"/>
          </w:tcPr>
          <w:p w14:paraId="75957641" w14:textId="7AADE643" w:rsidR="00FB603C" w:rsidRPr="00064434" w:rsidRDefault="00FB603C" w:rsidP="00064434">
            <w:pPr>
              <w:pStyle w:val="a7"/>
              <w:jc w:val="left"/>
            </w:pPr>
            <w:r w:rsidRPr="00064434">
              <w:t>Благоустрій територій, зелених зон та зон відпочинку</w:t>
            </w:r>
          </w:p>
        </w:tc>
        <w:tc>
          <w:tcPr>
            <w:tcW w:w="1701" w:type="dxa"/>
          </w:tcPr>
          <w:p w14:paraId="41B531F4" w14:textId="075A6392" w:rsidR="00FB603C" w:rsidRPr="00064434" w:rsidRDefault="00FB603C" w:rsidP="00196B6F">
            <w:pPr>
              <w:pStyle w:val="a7"/>
              <w:jc w:val="center"/>
            </w:pPr>
            <w:r w:rsidRPr="00064434">
              <w:t>+ 500 000,00</w:t>
            </w:r>
          </w:p>
        </w:tc>
        <w:tc>
          <w:tcPr>
            <w:tcW w:w="1843" w:type="dxa"/>
          </w:tcPr>
          <w:p w14:paraId="070B71A4" w14:textId="647CD8C1" w:rsidR="00FB603C" w:rsidRPr="00064434" w:rsidRDefault="00FB603C" w:rsidP="00196B6F">
            <w:pPr>
              <w:pStyle w:val="a7"/>
              <w:jc w:val="center"/>
            </w:pPr>
            <w:r w:rsidRPr="00064434">
              <w:t>1 500 000,00</w:t>
            </w:r>
          </w:p>
        </w:tc>
        <w:tc>
          <w:tcPr>
            <w:tcW w:w="2835" w:type="dxa"/>
          </w:tcPr>
          <w:p w14:paraId="56AB8B63" w14:textId="1DD34522" w:rsidR="00FB603C" w:rsidRPr="00064434" w:rsidRDefault="00FB603C" w:rsidP="00FB603C">
            <w:pPr>
              <w:pStyle w:val="a7"/>
              <w:jc w:val="left"/>
            </w:pPr>
            <w:r w:rsidRPr="00064434">
              <w:rPr>
                <w:rFonts w:eastAsia="Times New Roman"/>
              </w:rPr>
              <w:t>Для запобігання т</w:t>
            </w:r>
            <w:r w:rsidR="005720F6" w:rsidRPr="00064434">
              <w:rPr>
                <w:rFonts w:eastAsia="Times New Roman"/>
              </w:rPr>
              <w:t>равматизму мешканців</w:t>
            </w:r>
            <w:r w:rsidRPr="00064434">
              <w:rPr>
                <w:rFonts w:eastAsia="Times New Roman"/>
              </w:rPr>
              <w:t xml:space="preserve"> та для відновлення  естетичного вигляду, а також </w:t>
            </w:r>
            <w:r w:rsidR="0044000A" w:rsidRPr="00064434">
              <w:rPr>
                <w:rFonts w:eastAsia="Times New Roman"/>
              </w:rPr>
              <w:t>у</w:t>
            </w:r>
            <w:r w:rsidRPr="00064434">
              <w:rPr>
                <w:rFonts w:eastAsia="Times New Roman"/>
              </w:rPr>
              <w:t xml:space="preserve"> зв’язку з непоодинокими зверненнями громадян, депутатів та громадських організацій про незадовільний стан території між</w:t>
            </w:r>
            <w:r w:rsidRPr="00064434">
              <w:t xml:space="preserve"> будинками № 40-А та №42-А по</w:t>
            </w:r>
          </w:p>
          <w:p w14:paraId="1B002287" w14:textId="79AC8608" w:rsidR="00FB603C" w:rsidRPr="00064434" w:rsidRDefault="00FB603C" w:rsidP="00FB603C">
            <w:pPr>
              <w:pStyle w:val="a7"/>
              <w:jc w:val="left"/>
              <w:rPr>
                <w:rFonts w:eastAsia="Times New Roman"/>
              </w:rPr>
            </w:pPr>
            <w:r w:rsidRPr="00064434">
              <w:t>вул. Правобережній в</w:t>
            </w:r>
            <w:r w:rsidR="00C64151" w:rsidRPr="00064434">
              <w:t xml:space="preserve"> </w:t>
            </w:r>
            <w:r w:rsidRPr="00064434">
              <w:t xml:space="preserve">місті Кременчуці </w:t>
            </w:r>
            <w:r w:rsidR="005720F6" w:rsidRPr="00064434">
              <w:rPr>
                <w:rFonts w:eastAsia="Times New Roman"/>
              </w:rPr>
              <w:t>потрібно</w:t>
            </w:r>
            <w:r w:rsidRPr="00064434">
              <w:rPr>
                <w:rFonts w:eastAsia="Times New Roman"/>
              </w:rPr>
              <w:t xml:space="preserve"> розпочати поточні ремонтні роботи. </w:t>
            </w:r>
          </w:p>
          <w:p w14:paraId="3948EFF1" w14:textId="6A9EE467" w:rsidR="00FB603C" w:rsidRPr="00064434" w:rsidRDefault="00FB603C" w:rsidP="00FB603C">
            <w:pPr>
              <w:pStyle w:val="a7"/>
              <w:jc w:val="left"/>
            </w:pPr>
            <w:r w:rsidRPr="00064434">
              <w:t xml:space="preserve">Планова вартість ремонтних робіт </w:t>
            </w:r>
            <w:r w:rsidR="005720F6" w:rsidRPr="00064434">
              <w:t>і</w:t>
            </w:r>
            <w:r w:rsidRPr="00064434">
              <w:t xml:space="preserve">з закупівлею додаткових матеріалів складатиме 1 500 000,00 грн. </w:t>
            </w:r>
            <w:r w:rsidRPr="00064434">
              <w:lastRenderedPageBreak/>
              <w:t>Остаточна вартість ремонту може бути визначена після проведення процедури відкритих торгів.</w:t>
            </w:r>
          </w:p>
        </w:tc>
      </w:tr>
      <w:tr w:rsidR="00FB603C" w:rsidRPr="00064434" w14:paraId="4B86D67C" w14:textId="3E29B70F" w:rsidTr="00064434">
        <w:tc>
          <w:tcPr>
            <w:tcW w:w="1384" w:type="dxa"/>
          </w:tcPr>
          <w:p w14:paraId="1FC523F4" w14:textId="6EEF28E4" w:rsidR="00FB603C" w:rsidRPr="00064434" w:rsidRDefault="00FB603C" w:rsidP="00196B6F">
            <w:pPr>
              <w:pStyle w:val="a7"/>
            </w:pPr>
            <w:r w:rsidRPr="00064434">
              <w:lastRenderedPageBreak/>
              <w:t>Пункт 27</w:t>
            </w:r>
          </w:p>
        </w:tc>
        <w:tc>
          <w:tcPr>
            <w:tcW w:w="2268" w:type="dxa"/>
          </w:tcPr>
          <w:p w14:paraId="69010E12" w14:textId="2CB98D04" w:rsidR="00FB603C" w:rsidRPr="00064434" w:rsidRDefault="00FB603C" w:rsidP="00196B6F">
            <w:pPr>
              <w:pStyle w:val="a7"/>
              <w:jc w:val="left"/>
            </w:pPr>
            <w:r w:rsidRPr="00064434">
              <w:t>Придбання теплиці</w:t>
            </w:r>
          </w:p>
        </w:tc>
        <w:tc>
          <w:tcPr>
            <w:tcW w:w="1701" w:type="dxa"/>
          </w:tcPr>
          <w:p w14:paraId="3E788D42" w14:textId="60412C6D" w:rsidR="00FB603C" w:rsidRPr="00064434" w:rsidRDefault="00FB603C" w:rsidP="00196B6F">
            <w:pPr>
              <w:pStyle w:val="a7"/>
              <w:jc w:val="center"/>
            </w:pPr>
            <w:r w:rsidRPr="00064434">
              <w:t>+ 99 000,00</w:t>
            </w:r>
          </w:p>
        </w:tc>
        <w:tc>
          <w:tcPr>
            <w:tcW w:w="1843" w:type="dxa"/>
          </w:tcPr>
          <w:p w14:paraId="6DF783C4" w14:textId="3E96C2D5" w:rsidR="00FB603C" w:rsidRPr="00064434" w:rsidRDefault="00FB603C" w:rsidP="00196B6F">
            <w:pPr>
              <w:pStyle w:val="a7"/>
              <w:jc w:val="center"/>
            </w:pPr>
            <w:r w:rsidRPr="00064434">
              <w:t>198 000,00</w:t>
            </w:r>
          </w:p>
        </w:tc>
        <w:tc>
          <w:tcPr>
            <w:tcW w:w="2835" w:type="dxa"/>
          </w:tcPr>
          <w:p w14:paraId="6160915D" w14:textId="18B2A0B3" w:rsidR="00FB603C" w:rsidRPr="00064434" w:rsidRDefault="00FB603C" w:rsidP="005720F6">
            <w:pPr>
              <w:pStyle w:val="a7"/>
              <w:jc w:val="left"/>
            </w:pPr>
            <w:r w:rsidRPr="00064434">
              <w:t>Для вирощування саджанців однорічних квітів нам необхідно придбати ще одну якісну теплицю, що забезпечує оптимальні умови для росту рослин</w:t>
            </w:r>
            <w:r w:rsidR="005720F6" w:rsidRPr="00064434">
              <w:t xml:space="preserve">. </w:t>
            </w:r>
            <w:r w:rsidRPr="00064434">
              <w:t>Для цього КП «Благоустрій Кременчука» потребує виділення додаткових коштів. Теплиця 4 м х 22 м являє собою каркас з оцинкованого профілю 20х40 мм</w:t>
            </w:r>
            <w:r w:rsidR="005720F6" w:rsidRPr="00064434">
              <w:t xml:space="preserve"> </w:t>
            </w:r>
            <w:r w:rsidRPr="00064434">
              <w:t>і коштує 99 000,00 грн.</w:t>
            </w:r>
          </w:p>
        </w:tc>
      </w:tr>
    </w:tbl>
    <w:p w14:paraId="1414D7D3" w14:textId="77777777" w:rsidR="00117E18" w:rsidRPr="00064434" w:rsidRDefault="00117E18" w:rsidP="0008642B">
      <w:pPr>
        <w:ind w:firstLine="567"/>
        <w:jc w:val="both"/>
      </w:pPr>
    </w:p>
    <w:p w14:paraId="6966C383" w14:textId="0BBCD136" w:rsidR="0008642B" w:rsidRPr="00B22287" w:rsidRDefault="0008642B" w:rsidP="00B22287">
      <w:pPr>
        <w:pStyle w:val="a7"/>
        <w:ind w:firstLine="567"/>
        <w:rPr>
          <w:sz w:val="28"/>
          <w:szCs w:val="28"/>
        </w:rPr>
      </w:pPr>
      <w:r w:rsidRPr="00B22287">
        <w:rPr>
          <w:sz w:val="28"/>
          <w:szCs w:val="28"/>
        </w:rPr>
        <w:t xml:space="preserve">ІІ. Додаються </w:t>
      </w:r>
      <w:r w:rsidR="00C731A6" w:rsidRPr="00B22287">
        <w:rPr>
          <w:sz w:val="28"/>
          <w:szCs w:val="28"/>
        </w:rPr>
        <w:t xml:space="preserve">два </w:t>
      </w:r>
      <w:r w:rsidRPr="00B22287">
        <w:rPr>
          <w:sz w:val="28"/>
          <w:szCs w:val="28"/>
        </w:rPr>
        <w:t>нові заходи до Програми</w:t>
      </w:r>
      <w:r w:rsidR="005720F6" w:rsidRPr="00B22287">
        <w:rPr>
          <w:sz w:val="28"/>
          <w:szCs w:val="28"/>
        </w:rPr>
        <w:t>: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268"/>
        <w:gridCol w:w="4111"/>
      </w:tblGrid>
      <w:tr w:rsidR="00FB603C" w:rsidRPr="00064434" w14:paraId="19392057" w14:textId="41B40ABC" w:rsidTr="00064434">
        <w:tc>
          <w:tcPr>
            <w:tcW w:w="1384" w:type="dxa"/>
            <w:vAlign w:val="center"/>
          </w:tcPr>
          <w:p w14:paraId="0DD612E9" w14:textId="77777777" w:rsidR="00FB603C" w:rsidRPr="00064434" w:rsidRDefault="00FB603C" w:rsidP="00196B6F">
            <w:pPr>
              <w:pStyle w:val="a7"/>
              <w:jc w:val="center"/>
            </w:pPr>
            <w:r w:rsidRPr="00064434">
              <w:t>Пункт Програми</w:t>
            </w:r>
          </w:p>
        </w:tc>
        <w:tc>
          <w:tcPr>
            <w:tcW w:w="2268" w:type="dxa"/>
            <w:vAlign w:val="center"/>
          </w:tcPr>
          <w:p w14:paraId="68A02E90" w14:textId="77777777" w:rsidR="00FB603C" w:rsidRPr="00064434" w:rsidRDefault="00FB603C" w:rsidP="00196B6F">
            <w:pPr>
              <w:pStyle w:val="a7"/>
              <w:jc w:val="center"/>
            </w:pPr>
            <w:r w:rsidRPr="00064434">
              <w:t>Найменування заходу</w:t>
            </w:r>
          </w:p>
        </w:tc>
        <w:tc>
          <w:tcPr>
            <w:tcW w:w="2268" w:type="dxa"/>
            <w:vAlign w:val="center"/>
          </w:tcPr>
          <w:p w14:paraId="30A1E2BE" w14:textId="77777777" w:rsidR="00FB603C" w:rsidRPr="00064434" w:rsidRDefault="00FB603C" w:rsidP="00196B6F">
            <w:pPr>
              <w:pStyle w:val="a7"/>
              <w:jc w:val="center"/>
            </w:pPr>
            <w:r w:rsidRPr="00064434">
              <w:t>Орієнтовні обсяги фінансування</w:t>
            </w:r>
          </w:p>
          <w:p w14:paraId="4D8457A8" w14:textId="7D3D97D2" w:rsidR="00FB603C" w:rsidRPr="00064434" w:rsidRDefault="00FB603C" w:rsidP="00196B6F">
            <w:pPr>
              <w:pStyle w:val="a7"/>
              <w:jc w:val="center"/>
            </w:pPr>
            <w:r w:rsidRPr="00064434">
              <w:t>на 2025 рік</w:t>
            </w:r>
            <w:r w:rsidR="005720F6" w:rsidRPr="00064434">
              <w:t>,</w:t>
            </w:r>
          </w:p>
          <w:p w14:paraId="6923B08E" w14:textId="77777777" w:rsidR="00FB603C" w:rsidRPr="00064434" w:rsidRDefault="00FB603C" w:rsidP="00196B6F">
            <w:pPr>
              <w:pStyle w:val="a7"/>
              <w:jc w:val="center"/>
            </w:pPr>
            <w:r w:rsidRPr="00064434">
              <w:t>грн</w:t>
            </w:r>
          </w:p>
        </w:tc>
        <w:tc>
          <w:tcPr>
            <w:tcW w:w="4111" w:type="dxa"/>
          </w:tcPr>
          <w:p w14:paraId="1BA4ACEF" w14:textId="77777777" w:rsidR="00B22287" w:rsidRDefault="00B22287" w:rsidP="00196B6F">
            <w:pPr>
              <w:pStyle w:val="a7"/>
              <w:jc w:val="center"/>
            </w:pPr>
          </w:p>
          <w:p w14:paraId="330CA4B1" w14:textId="03FCFDE3" w:rsidR="00FB603C" w:rsidRPr="00064434" w:rsidRDefault="00FB603C" w:rsidP="00196B6F">
            <w:pPr>
              <w:pStyle w:val="a7"/>
              <w:jc w:val="center"/>
            </w:pPr>
            <w:r w:rsidRPr="00064434">
              <w:t>Пояснення</w:t>
            </w:r>
          </w:p>
        </w:tc>
      </w:tr>
      <w:tr w:rsidR="00FB603C" w:rsidRPr="00064434" w14:paraId="6C912572" w14:textId="0716DE57" w:rsidTr="00064434">
        <w:tc>
          <w:tcPr>
            <w:tcW w:w="1384" w:type="dxa"/>
          </w:tcPr>
          <w:p w14:paraId="3F9A5A89" w14:textId="4A5CED9D" w:rsidR="00FB603C" w:rsidRPr="00064434" w:rsidRDefault="00FB603C" w:rsidP="00196B6F">
            <w:pPr>
              <w:pStyle w:val="a7"/>
            </w:pPr>
            <w:r w:rsidRPr="00064434">
              <w:t>Пункт 28</w:t>
            </w:r>
          </w:p>
        </w:tc>
        <w:tc>
          <w:tcPr>
            <w:tcW w:w="2268" w:type="dxa"/>
          </w:tcPr>
          <w:p w14:paraId="1F9004B3" w14:textId="05C7DE41" w:rsidR="00FB603C" w:rsidRPr="00064434" w:rsidRDefault="00FB603C" w:rsidP="00196B6F">
            <w:pPr>
              <w:pStyle w:val="a7"/>
            </w:pPr>
            <w:r w:rsidRPr="00064434">
              <w:t>Придбання запасних частин для  підлогомийної машини B 250 R</w:t>
            </w:r>
          </w:p>
        </w:tc>
        <w:tc>
          <w:tcPr>
            <w:tcW w:w="2268" w:type="dxa"/>
          </w:tcPr>
          <w:p w14:paraId="7115CE1D" w14:textId="46CFC963" w:rsidR="00FB603C" w:rsidRPr="00064434" w:rsidRDefault="00FB603C" w:rsidP="00196B6F">
            <w:pPr>
              <w:pStyle w:val="a7"/>
              <w:jc w:val="center"/>
            </w:pPr>
            <w:r w:rsidRPr="00064434">
              <w:t>516 600,00</w:t>
            </w:r>
          </w:p>
        </w:tc>
        <w:tc>
          <w:tcPr>
            <w:tcW w:w="4111" w:type="dxa"/>
          </w:tcPr>
          <w:p w14:paraId="21FF6F0B" w14:textId="77777777" w:rsidR="00FB603C" w:rsidRPr="00064434" w:rsidRDefault="00FB603C" w:rsidP="00FB603C">
            <w:pPr>
              <w:pStyle w:val="a7"/>
              <w:jc w:val="left"/>
            </w:pPr>
            <w:r w:rsidRPr="00064434">
              <w:t>В 2013 році нашим підприємством придбана акумуляторна підлогомийна машина B 250 R. Ця спецтехніка –  сучасний вибір для ефективного прибирання великих площ, розрахована на найінтенсивніші навантаження та успішно  використовується н</w:t>
            </w:r>
            <w:bookmarkStart w:id="0" w:name="_GoBack"/>
            <w:bookmarkEnd w:id="0"/>
            <w:r w:rsidRPr="00064434">
              <w:t>ашим підприємством вже більше 10 років.</w:t>
            </w:r>
          </w:p>
          <w:p w14:paraId="5F53B264" w14:textId="16CE458E" w:rsidR="00FB603C" w:rsidRPr="00064434" w:rsidRDefault="00FB603C" w:rsidP="00FB603C">
            <w:pPr>
              <w:pStyle w:val="a7"/>
              <w:jc w:val="left"/>
            </w:pPr>
            <w:r w:rsidRPr="00064434">
              <w:t xml:space="preserve">Але на сьогоднішній день машина не працює. Два важливих компоненти підлогомийної машини – зарядний пристрій та акумуляторна батарея вже повністю відпрацювали свій ресурс і потребують заміни. </w:t>
            </w:r>
          </w:p>
          <w:p w14:paraId="135C6063" w14:textId="1FA1553D" w:rsidR="00FB603C" w:rsidRPr="00064434" w:rsidRDefault="005720F6" w:rsidP="00FB603C">
            <w:pPr>
              <w:pStyle w:val="a7"/>
              <w:jc w:val="left"/>
            </w:pPr>
            <w:r w:rsidRPr="00064434">
              <w:t>Орієнтовна в</w:t>
            </w:r>
            <w:r w:rsidR="00FB603C" w:rsidRPr="00064434">
              <w:t>артість двох запчастин становить 516 600,00 грн. Остаточна вартість може бути визначена після проведення процедури відкритих торгів.</w:t>
            </w:r>
          </w:p>
        </w:tc>
      </w:tr>
      <w:tr w:rsidR="00FB603C" w:rsidRPr="00D21C7A" w14:paraId="37F1C527" w14:textId="59EA72F5" w:rsidTr="00064434">
        <w:tc>
          <w:tcPr>
            <w:tcW w:w="1384" w:type="dxa"/>
          </w:tcPr>
          <w:p w14:paraId="17566A72" w14:textId="091704FE" w:rsidR="00FB603C" w:rsidRPr="00064434" w:rsidRDefault="00FB603C" w:rsidP="00196B6F">
            <w:pPr>
              <w:pStyle w:val="a7"/>
            </w:pPr>
            <w:r w:rsidRPr="00064434">
              <w:t>Пункт 29</w:t>
            </w:r>
          </w:p>
        </w:tc>
        <w:tc>
          <w:tcPr>
            <w:tcW w:w="2268" w:type="dxa"/>
          </w:tcPr>
          <w:p w14:paraId="693E5DC5" w14:textId="3067BD58" w:rsidR="00FB603C" w:rsidRPr="00064434" w:rsidRDefault="0044000A" w:rsidP="00196B6F">
            <w:pPr>
              <w:pStyle w:val="a7"/>
              <w:jc w:val="left"/>
            </w:pPr>
            <w:r w:rsidRPr="00064434">
              <w:t>Виплата м</w:t>
            </w:r>
            <w:r w:rsidR="00FB603C" w:rsidRPr="00064434">
              <w:t>уніципальн</w:t>
            </w:r>
            <w:r w:rsidRPr="00064434">
              <w:t>ої</w:t>
            </w:r>
            <w:r w:rsidR="00FB603C" w:rsidRPr="00064434">
              <w:t xml:space="preserve"> доплат</w:t>
            </w:r>
            <w:r w:rsidRPr="00064434">
              <w:t>и з нарахуваннями</w:t>
            </w:r>
            <w:r w:rsidR="00FB603C" w:rsidRPr="00064434">
              <w:t xml:space="preserve"> </w:t>
            </w:r>
            <w:r w:rsidR="00D21C7A" w:rsidRPr="00064434">
              <w:t>працівникам підприємства</w:t>
            </w:r>
          </w:p>
        </w:tc>
        <w:tc>
          <w:tcPr>
            <w:tcW w:w="2268" w:type="dxa"/>
          </w:tcPr>
          <w:p w14:paraId="5673EA56" w14:textId="560164F2" w:rsidR="00FB603C" w:rsidRPr="00064434" w:rsidRDefault="00FB603C" w:rsidP="00196B6F">
            <w:pPr>
              <w:pStyle w:val="a7"/>
              <w:jc w:val="center"/>
            </w:pPr>
            <w:r w:rsidRPr="00064434">
              <w:t>823 134,00</w:t>
            </w:r>
          </w:p>
        </w:tc>
        <w:tc>
          <w:tcPr>
            <w:tcW w:w="4111" w:type="dxa"/>
          </w:tcPr>
          <w:p w14:paraId="1248F54D" w14:textId="5B6A9A10" w:rsidR="00FB603C" w:rsidRPr="00064434" w:rsidRDefault="00FB603C" w:rsidP="00FB603C">
            <w:pPr>
              <w:pStyle w:val="a7"/>
              <w:jc w:val="left"/>
            </w:pPr>
            <w:r w:rsidRPr="00064434">
              <w:t>З метою соціального захисту, поліпшення матеріального стану працівників підприємства</w:t>
            </w:r>
            <w:r w:rsidR="002A4783" w:rsidRPr="00064434">
              <w:t xml:space="preserve"> та посилення ефективності та результативності їх роботи у забезпечен</w:t>
            </w:r>
            <w:r w:rsidR="005720F6" w:rsidRPr="00064434">
              <w:t>н</w:t>
            </w:r>
            <w:r w:rsidR="002A4783" w:rsidRPr="00064434">
              <w:t xml:space="preserve">і першочергових, життєво необхідних потреб </w:t>
            </w:r>
            <w:r w:rsidR="002A4783" w:rsidRPr="00064434">
              <w:lastRenderedPageBreak/>
              <w:t>населення міста встановл</w:t>
            </w:r>
            <w:r w:rsidR="00D21C7A">
              <w:t>ю</w:t>
            </w:r>
            <w:r w:rsidR="002A4783" w:rsidRPr="00064434">
              <w:t>ється муніципальна доплата працівникам підприємства</w:t>
            </w:r>
            <w:r w:rsidR="00D21C7A">
              <w:t xml:space="preserve">, </w:t>
            </w:r>
            <w:r w:rsidR="0044000A" w:rsidRPr="00064434">
              <w:t>у</w:t>
            </w:r>
            <w:r w:rsidR="002A4783" w:rsidRPr="00064434">
              <w:t xml:space="preserve"> яких з</w:t>
            </w:r>
            <w:r w:rsidR="0044000A" w:rsidRPr="00064434">
              <w:t>а</w:t>
            </w:r>
            <w:r w:rsidR="002A4783" w:rsidRPr="00064434">
              <w:t xml:space="preserve"> основною посадою заробітна плата не перевищує 10 000,00 грн </w:t>
            </w:r>
            <w:r w:rsidR="00117E18" w:rsidRPr="00064434">
              <w:t>відповідно</w:t>
            </w:r>
            <w:r w:rsidR="00C64151" w:rsidRPr="00064434">
              <w:t xml:space="preserve"> до</w:t>
            </w:r>
            <w:r w:rsidR="002A4783" w:rsidRPr="00064434">
              <w:t xml:space="preserve"> Положення</w:t>
            </w:r>
            <w:r w:rsidR="0044000A" w:rsidRPr="00064434">
              <w:t xml:space="preserve">, затвердженого рішенням </w:t>
            </w:r>
            <w:r w:rsidR="0044000A" w:rsidRPr="00064434">
              <w:rPr>
                <w:rFonts w:eastAsia="Times New Roman"/>
              </w:rPr>
              <w:t xml:space="preserve">Кременчуцької міської ради </w:t>
            </w:r>
            <w:r w:rsidR="0044000A" w:rsidRPr="00064434">
              <w:t xml:space="preserve">Кременчуцького району Полтавської області </w:t>
            </w:r>
            <w:r w:rsidR="0044000A" w:rsidRPr="00064434">
              <w:rPr>
                <w:rFonts w:eastAsia="Times New Roman"/>
              </w:rPr>
              <w:t xml:space="preserve">від 27 </w:t>
            </w:r>
            <w:r w:rsidR="0044000A" w:rsidRPr="00064434">
              <w:t>червня</w:t>
            </w:r>
            <w:r w:rsidR="0044000A" w:rsidRPr="00064434">
              <w:rPr>
                <w:rFonts w:eastAsia="Times New Roman"/>
              </w:rPr>
              <w:t xml:space="preserve"> 2025 року «Про затвердження Положення </w:t>
            </w:r>
            <w:r w:rsidR="0044000A" w:rsidRPr="00064434">
              <w:t xml:space="preserve">про муніципальну доплату працівникам підприємств, що належать до комунальної власності Кременчуцької міської територіальної громади та функціонально підпорядковані Департаменту житлово-комунального господарства </w:t>
            </w:r>
            <w:r w:rsidR="0044000A" w:rsidRPr="00064434">
              <w:rPr>
                <w:rFonts w:eastAsia="Times New Roman"/>
              </w:rPr>
              <w:t xml:space="preserve">Кременчуцької міської ради </w:t>
            </w:r>
            <w:r w:rsidR="0044000A" w:rsidRPr="00064434">
              <w:t>Кременчуцького району Полтавської області» (зі змінами).</w:t>
            </w:r>
          </w:p>
        </w:tc>
      </w:tr>
      <w:tr w:rsidR="00117E18" w:rsidRPr="00064434" w14:paraId="59486566" w14:textId="77777777" w:rsidTr="00064434">
        <w:tc>
          <w:tcPr>
            <w:tcW w:w="1384" w:type="dxa"/>
          </w:tcPr>
          <w:p w14:paraId="3FC108D6" w14:textId="4459DF62" w:rsidR="00117E18" w:rsidRPr="00064434" w:rsidRDefault="00117E18" w:rsidP="00196B6F">
            <w:pPr>
              <w:pStyle w:val="a7"/>
            </w:pPr>
            <w:r w:rsidRPr="00064434">
              <w:lastRenderedPageBreak/>
              <w:t>Пункт 30</w:t>
            </w:r>
          </w:p>
        </w:tc>
        <w:tc>
          <w:tcPr>
            <w:tcW w:w="2268" w:type="dxa"/>
          </w:tcPr>
          <w:p w14:paraId="6B7CD980" w14:textId="38BDCB5E" w:rsidR="00117E18" w:rsidRPr="00064434" w:rsidRDefault="00117E18" w:rsidP="00196B6F">
            <w:pPr>
              <w:pStyle w:val="a7"/>
              <w:jc w:val="left"/>
            </w:pPr>
            <w:r w:rsidRPr="00064434">
              <w:t>Придбання меморіальних стел, пам</w:t>
            </w:r>
            <w:r w:rsidR="0044000A" w:rsidRPr="00064434">
              <w:t>’</w:t>
            </w:r>
            <w:r w:rsidRPr="00064434">
              <w:t>ятних знаків, адресних знаків</w:t>
            </w:r>
          </w:p>
        </w:tc>
        <w:tc>
          <w:tcPr>
            <w:tcW w:w="2268" w:type="dxa"/>
          </w:tcPr>
          <w:p w14:paraId="2FB0E296" w14:textId="2FA2A54C" w:rsidR="00117E18" w:rsidRPr="00064434" w:rsidRDefault="00117E18" w:rsidP="00196B6F">
            <w:pPr>
              <w:pStyle w:val="a7"/>
              <w:jc w:val="center"/>
            </w:pPr>
            <w:r w:rsidRPr="00064434">
              <w:t>450 000,00</w:t>
            </w:r>
          </w:p>
        </w:tc>
        <w:tc>
          <w:tcPr>
            <w:tcW w:w="4111" w:type="dxa"/>
          </w:tcPr>
          <w:p w14:paraId="0C725103" w14:textId="138B640D" w:rsidR="00117E18" w:rsidRPr="00064434" w:rsidRDefault="00117E18" w:rsidP="00117E18">
            <w:pPr>
              <w:pStyle w:val="a7"/>
              <w:jc w:val="left"/>
            </w:pPr>
            <w:r w:rsidRPr="00064434">
              <w:t>У Кременчуці приділяється особлива увага вшануванню пам</w:t>
            </w:r>
            <w:r w:rsidR="0044000A" w:rsidRPr="00064434">
              <w:t>’</w:t>
            </w:r>
            <w:r w:rsidRPr="00064434">
              <w:t>яті загиблих захисників, які віддали свої життя, виборюючи свободу України</w:t>
            </w:r>
            <w:r w:rsidR="005720F6" w:rsidRPr="00064434">
              <w:t>, у</w:t>
            </w:r>
            <w:r w:rsidRPr="00064434">
              <w:t>віковічненню спомину про трагедію в торг</w:t>
            </w:r>
            <w:r w:rsidR="00D21C7A">
              <w:t>о</w:t>
            </w:r>
            <w:r w:rsidRPr="00064434">
              <w:t>вельному центрі «Амстор».</w:t>
            </w:r>
          </w:p>
          <w:p w14:paraId="568531A4" w14:textId="77777777" w:rsidR="00117E18" w:rsidRPr="00064434" w:rsidRDefault="00117E18" w:rsidP="00117E18">
            <w:pPr>
              <w:pStyle w:val="a7"/>
              <w:jc w:val="left"/>
            </w:pPr>
            <w:r w:rsidRPr="00064434">
              <w:t xml:space="preserve">КП «Благоустрій Кременчука» у 2025 році планує придбати та встановити 15 меморіальних стел та пам’ятних знаків.   </w:t>
            </w:r>
          </w:p>
          <w:p w14:paraId="189D868A" w14:textId="77777777" w:rsidR="00117E18" w:rsidRPr="00064434" w:rsidRDefault="00117E18" w:rsidP="00117E18">
            <w:pPr>
              <w:pStyle w:val="a7"/>
              <w:jc w:val="left"/>
            </w:pPr>
            <w:r w:rsidRPr="00064434">
              <w:t xml:space="preserve">Планова вартість придбання складатиме  </w:t>
            </w:r>
          </w:p>
          <w:p w14:paraId="2FF15B4D" w14:textId="17C139EB" w:rsidR="00117E18" w:rsidRPr="00064434" w:rsidRDefault="00117E18" w:rsidP="00117E18">
            <w:pPr>
              <w:pStyle w:val="a7"/>
              <w:jc w:val="left"/>
            </w:pPr>
            <w:r w:rsidRPr="00064434">
              <w:t xml:space="preserve">450 000,00 грн. Остаточна </w:t>
            </w:r>
            <w:r w:rsidR="005720F6" w:rsidRPr="00064434">
              <w:t xml:space="preserve">вартість </w:t>
            </w:r>
            <w:r w:rsidRPr="00064434">
              <w:t>може бути визначена після проведення процедури відкритих торгів.</w:t>
            </w:r>
          </w:p>
        </w:tc>
      </w:tr>
    </w:tbl>
    <w:p w14:paraId="1CEBBB77" w14:textId="77777777" w:rsidR="00117E18" w:rsidRDefault="00117E18" w:rsidP="00C95C6D">
      <w:pPr>
        <w:pStyle w:val="a7"/>
        <w:ind w:firstLine="567"/>
        <w:rPr>
          <w:sz w:val="28"/>
        </w:rPr>
      </w:pPr>
    </w:p>
    <w:p w14:paraId="4A31624E" w14:textId="68D7ECD7" w:rsidR="00C95C6D" w:rsidRPr="00DA3BD0" w:rsidRDefault="00C95C6D" w:rsidP="00B22287">
      <w:pPr>
        <w:pStyle w:val="a7"/>
        <w:ind w:firstLine="567"/>
        <w:rPr>
          <w:sz w:val="28"/>
        </w:rPr>
      </w:pPr>
      <w:r>
        <w:rPr>
          <w:sz w:val="28"/>
        </w:rPr>
        <w:t>Загальна сума на виконання Програми збільшиться</w:t>
      </w:r>
      <w:r w:rsidRPr="00DA3BD0">
        <w:rPr>
          <w:sz w:val="28"/>
          <w:lang w:val="ru-RU"/>
        </w:rPr>
        <w:t xml:space="preserve"> </w:t>
      </w:r>
      <w:r w:rsidR="00C9732E">
        <w:rPr>
          <w:sz w:val="28"/>
          <w:lang w:val="ru-RU"/>
        </w:rPr>
        <w:t xml:space="preserve">на суму </w:t>
      </w:r>
      <w:r w:rsidR="00805EA6">
        <w:rPr>
          <w:sz w:val="28"/>
          <w:szCs w:val="28"/>
        </w:rPr>
        <w:t>2 388 734</w:t>
      </w:r>
      <w:r w:rsidR="00AD5D06">
        <w:rPr>
          <w:sz w:val="28"/>
          <w:szCs w:val="28"/>
        </w:rPr>
        <w:t>,00</w:t>
      </w:r>
      <w:r w:rsidR="00C9732E">
        <w:rPr>
          <w:sz w:val="28"/>
          <w:szCs w:val="28"/>
        </w:rPr>
        <w:t xml:space="preserve"> грн</w:t>
      </w:r>
      <w:r w:rsidR="00C9732E">
        <w:rPr>
          <w:sz w:val="28"/>
          <w:lang w:val="ru-RU"/>
        </w:rPr>
        <w:t xml:space="preserve"> </w:t>
      </w:r>
      <w:r>
        <w:rPr>
          <w:sz w:val="28"/>
        </w:rPr>
        <w:t xml:space="preserve">і </w:t>
      </w:r>
      <w:r w:rsidR="00C9732E">
        <w:rPr>
          <w:sz w:val="28"/>
        </w:rPr>
        <w:t xml:space="preserve">в 2025 році </w:t>
      </w:r>
      <w:r>
        <w:rPr>
          <w:sz w:val="28"/>
        </w:rPr>
        <w:t>становитиме</w:t>
      </w:r>
      <w:r w:rsidR="00C9732E">
        <w:rPr>
          <w:sz w:val="28"/>
        </w:rPr>
        <w:t xml:space="preserve"> </w:t>
      </w:r>
      <w:r w:rsidR="00992361">
        <w:rPr>
          <w:sz w:val="28"/>
        </w:rPr>
        <w:t>17</w:t>
      </w:r>
      <w:r w:rsidR="00805EA6">
        <w:rPr>
          <w:sz w:val="28"/>
        </w:rPr>
        <w:t>3 907 715,03</w:t>
      </w:r>
      <w:r w:rsidR="00C9732E">
        <w:rPr>
          <w:sz w:val="28"/>
        </w:rPr>
        <w:t xml:space="preserve"> грн. Загальний обсяг фінансових ресурсів, необхідних для реалізації Програми</w:t>
      </w:r>
      <w:r w:rsidR="005720F6">
        <w:rPr>
          <w:sz w:val="28"/>
        </w:rPr>
        <w:t xml:space="preserve"> </w:t>
      </w:r>
      <w:r w:rsidR="005720F6" w:rsidRPr="00C64151">
        <w:rPr>
          <w:sz w:val="28"/>
          <w:szCs w:val="28"/>
        </w:rPr>
        <w:t>діяльності та розвитку КП</w:t>
      </w:r>
      <w:r w:rsidR="005720F6" w:rsidRPr="00C731A6">
        <w:rPr>
          <w:sz w:val="28"/>
          <w:szCs w:val="28"/>
        </w:rPr>
        <w:t xml:space="preserve"> «Благоустрій Кременчука» на 2025-2027 роки</w:t>
      </w:r>
      <w:r w:rsidR="009B132A">
        <w:rPr>
          <w:sz w:val="28"/>
        </w:rPr>
        <w:t>,</w:t>
      </w:r>
      <w:r w:rsidR="00C9732E">
        <w:rPr>
          <w:sz w:val="28"/>
        </w:rPr>
        <w:t xml:space="preserve"> становитиме </w:t>
      </w:r>
      <w:r w:rsidR="00805EA6">
        <w:rPr>
          <w:sz w:val="28"/>
        </w:rPr>
        <w:t>578 341 366,03</w:t>
      </w:r>
      <w:r>
        <w:rPr>
          <w:sz w:val="28"/>
        </w:rPr>
        <w:t xml:space="preserve"> грн. </w:t>
      </w:r>
    </w:p>
    <w:p w14:paraId="768CD821" w14:textId="77777777" w:rsidR="00A50284" w:rsidRPr="005B21C3" w:rsidRDefault="00A50284" w:rsidP="00A50284">
      <w:pPr>
        <w:jc w:val="both"/>
        <w:rPr>
          <w:sz w:val="28"/>
          <w:szCs w:val="28"/>
          <w:lang w:val="uk-UA"/>
        </w:rPr>
      </w:pPr>
    </w:p>
    <w:p w14:paraId="144C6BEB" w14:textId="77777777" w:rsidR="00A50284" w:rsidRDefault="00A50284" w:rsidP="00A50284">
      <w:pPr>
        <w:rPr>
          <w:sz w:val="28"/>
          <w:szCs w:val="28"/>
          <w:lang w:val="uk-UA"/>
        </w:rPr>
      </w:pPr>
    </w:p>
    <w:p w14:paraId="4A633338" w14:textId="576BFB54" w:rsidR="00482D99" w:rsidRDefault="00805EA6" w:rsidP="00482D99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В. о. г</w:t>
      </w:r>
      <w:r w:rsidR="00482D99">
        <w:rPr>
          <w:b/>
          <w:bCs/>
          <w:sz w:val="28"/>
          <w:szCs w:val="28"/>
          <w:lang w:val="uk-UA" w:eastAsia="ru-RU"/>
        </w:rPr>
        <w:t>енеральн</w:t>
      </w:r>
      <w:r>
        <w:rPr>
          <w:b/>
          <w:bCs/>
          <w:sz w:val="28"/>
          <w:szCs w:val="28"/>
          <w:lang w:val="uk-UA" w:eastAsia="ru-RU"/>
        </w:rPr>
        <w:t>ого</w:t>
      </w:r>
      <w:r w:rsidR="00482D99">
        <w:rPr>
          <w:b/>
          <w:bCs/>
          <w:sz w:val="28"/>
          <w:szCs w:val="28"/>
          <w:lang w:val="uk-UA" w:eastAsia="ru-RU"/>
        </w:rPr>
        <w:t xml:space="preserve"> директор</w:t>
      </w:r>
      <w:r>
        <w:rPr>
          <w:b/>
          <w:bCs/>
          <w:sz w:val="28"/>
          <w:szCs w:val="28"/>
          <w:lang w:val="uk-UA" w:eastAsia="ru-RU"/>
        </w:rPr>
        <w:t>а</w:t>
      </w:r>
    </w:p>
    <w:p w14:paraId="5AB0CCF9" w14:textId="09122275" w:rsidR="00482D99" w:rsidRDefault="00482D99" w:rsidP="00482D99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</w:t>
      </w:r>
      <w:r w:rsidR="00064434">
        <w:rPr>
          <w:b/>
          <w:bCs/>
          <w:sz w:val="28"/>
          <w:szCs w:val="28"/>
          <w:lang w:val="uk-UA" w:eastAsia="ru-RU"/>
        </w:rPr>
        <w:t xml:space="preserve"> </w:t>
      </w:r>
      <w:r w:rsidR="00064434">
        <w:rPr>
          <w:b/>
          <w:bCs/>
          <w:sz w:val="28"/>
          <w:szCs w:val="28"/>
          <w:lang w:val="uk-UA" w:eastAsia="ru-RU"/>
        </w:rPr>
        <w:tab/>
      </w:r>
      <w:r w:rsidR="005720F6">
        <w:rPr>
          <w:b/>
          <w:bCs/>
          <w:sz w:val="28"/>
          <w:szCs w:val="28"/>
          <w:lang w:val="uk-UA" w:eastAsia="ru-RU"/>
        </w:rPr>
        <w:tab/>
      </w:r>
      <w:r w:rsidR="005720F6">
        <w:rPr>
          <w:b/>
          <w:bCs/>
          <w:sz w:val="28"/>
          <w:szCs w:val="28"/>
          <w:lang w:val="uk-UA" w:eastAsia="ru-RU"/>
        </w:rPr>
        <w:tab/>
      </w:r>
      <w:r>
        <w:rPr>
          <w:b/>
          <w:bCs/>
          <w:sz w:val="28"/>
          <w:szCs w:val="28"/>
          <w:lang w:val="uk-UA" w:eastAsia="ru-RU"/>
        </w:rPr>
        <w:t xml:space="preserve"> </w:t>
      </w:r>
      <w:r w:rsidR="00805EA6">
        <w:rPr>
          <w:b/>
          <w:bCs/>
          <w:sz w:val="28"/>
          <w:szCs w:val="28"/>
          <w:lang w:val="uk-UA" w:eastAsia="ru-RU"/>
        </w:rPr>
        <w:t>Юрій МОКІЄНКО</w:t>
      </w:r>
    </w:p>
    <w:p w14:paraId="3997318C" w14:textId="77777777" w:rsidR="00A50284" w:rsidRPr="005D2EA7" w:rsidRDefault="00A50284" w:rsidP="00A50284">
      <w:pPr>
        <w:rPr>
          <w:b/>
          <w:bCs/>
          <w:lang w:val="uk-UA"/>
        </w:rPr>
      </w:pPr>
    </w:p>
    <w:p w14:paraId="78548FA3" w14:textId="77777777" w:rsidR="00A50284" w:rsidRPr="005B21C3" w:rsidRDefault="00A50284" w:rsidP="00A50284">
      <w:pPr>
        <w:rPr>
          <w:lang w:val="uk-UA"/>
        </w:rPr>
      </w:pPr>
    </w:p>
    <w:p w14:paraId="5F1760DD" w14:textId="77777777" w:rsidR="00A50284" w:rsidRPr="00E86E92" w:rsidRDefault="00A50284" w:rsidP="00A50284">
      <w:pPr>
        <w:rPr>
          <w:lang w:val="uk-UA"/>
        </w:rPr>
      </w:pPr>
    </w:p>
    <w:sectPr w:rsidR="00A50284" w:rsidRPr="00E86E92" w:rsidSect="00064434">
      <w:footerReference w:type="default" r:id="rId9"/>
      <w:pgSz w:w="11906" w:h="16838"/>
      <w:pgMar w:top="567" w:right="566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69881" w14:textId="77777777" w:rsidR="00AD37D7" w:rsidRDefault="00AD37D7" w:rsidP="00AD3DE3">
      <w:r>
        <w:separator/>
      </w:r>
    </w:p>
  </w:endnote>
  <w:endnote w:type="continuationSeparator" w:id="0">
    <w:p w14:paraId="04B73D89" w14:textId="77777777" w:rsidR="00AD37D7" w:rsidRDefault="00AD37D7" w:rsidP="00AD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4414893"/>
      <w:docPartObj>
        <w:docPartGallery w:val="Page Numbers (Bottom of Page)"/>
        <w:docPartUnique/>
      </w:docPartObj>
    </w:sdtPr>
    <w:sdtEndPr/>
    <w:sdtContent>
      <w:p w14:paraId="607F69C6" w14:textId="1FA4850C" w:rsidR="00AD3DE3" w:rsidRDefault="00AD3DE3">
        <w:pPr>
          <w:pStyle w:val="a9"/>
          <w:jc w:val="center"/>
        </w:pPr>
      </w:p>
      <w:p w14:paraId="6206A422" w14:textId="77777777" w:rsidR="00AD3DE3" w:rsidRDefault="00AD3DE3">
        <w:pPr>
          <w:pStyle w:val="a9"/>
          <w:jc w:val="center"/>
        </w:pPr>
      </w:p>
      <w:p w14:paraId="1D4DB01C" w14:textId="6B957A3D" w:rsidR="00AD3DE3" w:rsidRDefault="00AD37D7">
        <w:pPr>
          <w:pStyle w:val="a9"/>
          <w:jc w:val="center"/>
        </w:pPr>
      </w:p>
    </w:sdtContent>
  </w:sdt>
  <w:p w14:paraId="081D63CB" w14:textId="77777777" w:rsidR="00AD3DE3" w:rsidRDefault="00AD3D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FA015" w14:textId="77777777" w:rsidR="00AD37D7" w:rsidRDefault="00AD37D7" w:rsidP="00AD3DE3">
      <w:r>
        <w:separator/>
      </w:r>
    </w:p>
  </w:footnote>
  <w:footnote w:type="continuationSeparator" w:id="0">
    <w:p w14:paraId="1726BD71" w14:textId="77777777" w:rsidR="00AD37D7" w:rsidRDefault="00AD37D7" w:rsidP="00AD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24134"/>
    <w:multiLevelType w:val="hybridMultilevel"/>
    <w:tmpl w:val="674A07FA"/>
    <w:lvl w:ilvl="0" w:tplc="AD1A5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B7B6ACC"/>
    <w:multiLevelType w:val="hybridMultilevel"/>
    <w:tmpl w:val="3A4CFB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07344"/>
    <w:multiLevelType w:val="hybridMultilevel"/>
    <w:tmpl w:val="DBF60410"/>
    <w:lvl w:ilvl="0" w:tplc="77E2B0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87E"/>
    <w:rsid w:val="00011AF6"/>
    <w:rsid w:val="00051B84"/>
    <w:rsid w:val="000529CD"/>
    <w:rsid w:val="00064434"/>
    <w:rsid w:val="0008642B"/>
    <w:rsid w:val="0008645B"/>
    <w:rsid w:val="000D4BB8"/>
    <w:rsid w:val="000E6DF9"/>
    <w:rsid w:val="000F136B"/>
    <w:rsid w:val="000F4CA0"/>
    <w:rsid w:val="000F5A02"/>
    <w:rsid w:val="00100418"/>
    <w:rsid w:val="00117E18"/>
    <w:rsid w:val="0012268C"/>
    <w:rsid w:val="00130DF6"/>
    <w:rsid w:val="0013688D"/>
    <w:rsid w:val="0014786D"/>
    <w:rsid w:val="001558FE"/>
    <w:rsid w:val="00157C69"/>
    <w:rsid w:val="00186B41"/>
    <w:rsid w:val="00187FA6"/>
    <w:rsid w:val="001B7E31"/>
    <w:rsid w:val="001C395D"/>
    <w:rsid w:val="001D2F64"/>
    <w:rsid w:val="001F33F8"/>
    <w:rsid w:val="001F5BCC"/>
    <w:rsid w:val="00200E98"/>
    <w:rsid w:val="00201F21"/>
    <w:rsid w:val="002211C9"/>
    <w:rsid w:val="00226EDE"/>
    <w:rsid w:val="0026093D"/>
    <w:rsid w:val="0027146B"/>
    <w:rsid w:val="002A4783"/>
    <w:rsid w:val="002A5079"/>
    <w:rsid w:val="002B51E1"/>
    <w:rsid w:val="002C1B8B"/>
    <w:rsid w:val="002E423D"/>
    <w:rsid w:val="002E4578"/>
    <w:rsid w:val="002F6E65"/>
    <w:rsid w:val="002F73C6"/>
    <w:rsid w:val="002F75C8"/>
    <w:rsid w:val="00323365"/>
    <w:rsid w:val="00334A15"/>
    <w:rsid w:val="0034481F"/>
    <w:rsid w:val="00352EAB"/>
    <w:rsid w:val="0036050D"/>
    <w:rsid w:val="0036675C"/>
    <w:rsid w:val="003772A2"/>
    <w:rsid w:val="003A120E"/>
    <w:rsid w:val="003C65E9"/>
    <w:rsid w:val="003C74C5"/>
    <w:rsid w:val="003E15ED"/>
    <w:rsid w:val="003F4D44"/>
    <w:rsid w:val="00431AA0"/>
    <w:rsid w:val="0044000A"/>
    <w:rsid w:val="004432F0"/>
    <w:rsid w:val="00456F9C"/>
    <w:rsid w:val="00482D99"/>
    <w:rsid w:val="004859D9"/>
    <w:rsid w:val="00493B94"/>
    <w:rsid w:val="004D39A0"/>
    <w:rsid w:val="004E183E"/>
    <w:rsid w:val="004E5CC0"/>
    <w:rsid w:val="004F7A4C"/>
    <w:rsid w:val="0053119F"/>
    <w:rsid w:val="00534FB3"/>
    <w:rsid w:val="00554B6E"/>
    <w:rsid w:val="005720F6"/>
    <w:rsid w:val="005728A5"/>
    <w:rsid w:val="005A5511"/>
    <w:rsid w:val="005B023B"/>
    <w:rsid w:val="005B4EE0"/>
    <w:rsid w:val="005B572C"/>
    <w:rsid w:val="005C52B7"/>
    <w:rsid w:val="005C7B05"/>
    <w:rsid w:val="005E3090"/>
    <w:rsid w:val="005E45AA"/>
    <w:rsid w:val="005F1B6C"/>
    <w:rsid w:val="005F5C6A"/>
    <w:rsid w:val="00600007"/>
    <w:rsid w:val="00615364"/>
    <w:rsid w:val="00645BA6"/>
    <w:rsid w:val="006473C2"/>
    <w:rsid w:val="00650929"/>
    <w:rsid w:val="00666E5F"/>
    <w:rsid w:val="00667812"/>
    <w:rsid w:val="0067450B"/>
    <w:rsid w:val="00696B43"/>
    <w:rsid w:val="006B7A27"/>
    <w:rsid w:val="006C08FA"/>
    <w:rsid w:val="006C5805"/>
    <w:rsid w:val="00721527"/>
    <w:rsid w:val="00724067"/>
    <w:rsid w:val="00726AF7"/>
    <w:rsid w:val="00734372"/>
    <w:rsid w:val="00737115"/>
    <w:rsid w:val="00756C3F"/>
    <w:rsid w:val="007A7468"/>
    <w:rsid w:val="007C281E"/>
    <w:rsid w:val="007D4977"/>
    <w:rsid w:val="00805EA6"/>
    <w:rsid w:val="00814ACC"/>
    <w:rsid w:val="00820214"/>
    <w:rsid w:val="00823281"/>
    <w:rsid w:val="0084640C"/>
    <w:rsid w:val="00864803"/>
    <w:rsid w:val="00883913"/>
    <w:rsid w:val="008C0E11"/>
    <w:rsid w:val="008D21D6"/>
    <w:rsid w:val="008D3B12"/>
    <w:rsid w:val="008E7F8A"/>
    <w:rsid w:val="008F33D9"/>
    <w:rsid w:val="0090201D"/>
    <w:rsid w:val="009247B3"/>
    <w:rsid w:val="0094618B"/>
    <w:rsid w:val="00957B73"/>
    <w:rsid w:val="00965992"/>
    <w:rsid w:val="0096604C"/>
    <w:rsid w:val="009753A4"/>
    <w:rsid w:val="00977D65"/>
    <w:rsid w:val="00992361"/>
    <w:rsid w:val="009A1B45"/>
    <w:rsid w:val="009B02D2"/>
    <w:rsid w:val="009B132A"/>
    <w:rsid w:val="009B665A"/>
    <w:rsid w:val="009C0E54"/>
    <w:rsid w:val="009C5760"/>
    <w:rsid w:val="009D2571"/>
    <w:rsid w:val="009D5B83"/>
    <w:rsid w:val="009F6EE2"/>
    <w:rsid w:val="00A116A4"/>
    <w:rsid w:val="00A1463C"/>
    <w:rsid w:val="00A50284"/>
    <w:rsid w:val="00A72E17"/>
    <w:rsid w:val="00A80636"/>
    <w:rsid w:val="00AB192F"/>
    <w:rsid w:val="00AD19E2"/>
    <w:rsid w:val="00AD37D7"/>
    <w:rsid w:val="00AD3DE3"/>
    <w:rsid w:val="00AD5D06"/>
    <w:rsid w:val="00AD6E2A"/>
    <w:rsid w:val="00B00866"/>
    <w:rsid w:val="00B03AAE"/>
    <w:rsid w:val="00B06B0A"/>
    <w:rsid w:val="00B12A16"/>
    <w:rsid w:val="00B14482"/>
    <w:rsid w:val="00B22287"/>
    <w:rsid w:val="00B50893"/>
    <w:rsid w:val="00B531FB"/>
    <w:rsid w:val="00B547B9"/>
    <w:rsid w:val="00B66F17"/>
    <w:rsid w:val="00B73F2A"/>
    <w:rsid w:val="00BA0222"/>
    <w:rsid w:val="00BA0986"/>
    <w:rsid w:val="00BB6D2E"/>
    <w:rsid w:val="00BC1062"/>
    <w:rsid w:val="00BD524E"/>
    <w:rsid w:val="00BE09D0"/>
    <w:rsid w:val="00BE0F55"/>
    <w:rsid w:val="00C011C3"/>
    <w:rsid w:val="00C0387E"/>
    <w:rsid w:val="00C165B3"/>
    <w:rsid w:val="00C64151"/>
    <w:rsid w:val="00C731A6"/>
    <w:rsid w:val="00C85B56"/>
    <w:rsid w:val="00C95C6D"/>
    <w:rsid w:val="00C9732E"/>
    <w:rsid w:val="00C97857"/>
    <w:rsid w:val="00CA5EFB"/>
    <w:rsid w:val="00CB1DD7"/>
    <w:rsid w:val="00CB579C"/>
    <w:rsid w:val="00CD4F25"/>
    <w:rsid w:val="00D03DBB"/>
    <w:rsid w:val="00D21C7A"/>
    <w:rsid w:val="00D23958"/>
    <w:rsid w:val="00D35080"/>
    <w:rsid w:val="00D36975"/>
    <w:rsid w:val="00D52C1A"/>
    <w:rsid w:val="00D820DC"/>
    <w:rsid w:val="00DA3004"/>
    <w:rsid w:val="00DA3BD0"/>
    <w:rsid w:val="00DB1475"/>
    <w:rsid w:val="00DB18CF"/>
    <w:rsid w:val="00DC2137"/>
    <w:rsid w:val="00DC75FC"/>
    <w:rsid w:val="00DD4B53"/>
    <w:rsid w:val="00DE2AFB"/>
    <w:rsid w:val="00DE7EDA"/>
    <w:rsid w:val="00DF1C05"/>
    <w:rsid w:val="00E255A8"/>
    <w:rsid w:val="00E30C23"/>
    <w:rsid w:val="00E329BC"/>
    <w:rsid w:val="00E4011F"/>
    <w:rsid w:val="00E46016"/>
    <w:rsid w:val="00E70A2B"/>
    <w:rsid w:val="00E86E92"/>
    <w:rsid w:val="00E90DEC"/>
    <w:rsid w:val="00E97951"/>
    <w:rsid w:val="00EB19F2"/>
    <w:rsid w:val="00EE39FF"/>
    <w:rsid w:val="00EF3BDA"/>
    <w:rsid w:val="00F03344"/>
    <w:rsid w:val="00F113AD"/>
    <w:rsid w:val="00F14B8B"/>
    <w:rsid w:val="00F44863"/>
    <w:rsid w:val="00F4504D"/>
    <w:rsid w:val="00F47551"/>
    <w:rsid w:val="00F511EB"/>
    <w:rsid w:val="00F67967"/>
    <w:rsid w:val="00FA6919"/>
    <w:rsid w:val="00FB19C9"/>
    <w:rsid w:val="00FB3213"/>
    <w:rsid w:val="00FB603C"/>
    <w:rsid w:val="00FC2C2B"/>
    <w:rsid w:val="00FC4585"/>
    <w:rsid w:val="00FD2A08"/>
    <w:rsid w:val="00FD3254"/>
    <w:rsid w:val="3AA55D24"/>
    <w:rsid w:val="6F12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DBB2"/>
  <w15:docId w15:val="{AC251E45-7480-4464-8D01-80D38D81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pPr>
      <w:suppressAutoHyphens w:val="0"/>
      <w:jc w:val="both"/>
    </w:pPr>
    <w:rPr>
      <w:lang w:val="uk-UA"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basedOn w:val="a0"/>
    <w:link w:val="a7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d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sz w:val="18"/>
      <w:szCs w:val="18"/>
      <w:lang w:eastAsia="ar-SA"/>
    </w:rPr>
  </w:style>
  <w:style w:type="paragraph" w:styleId="af">
    <w:name w:val="annotation text"/>
    <w:basedOn w:val="a"/>
    <w:link w:val="af0"/>
    <w:uiPriority w:val="99"/>
    <w:semiHidden/>
    <w:unhideWhenUsed/>
    <w:rsid w:val="00B66F17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66F1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4238B0-F7B8-445A-BFB8-8DC34843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3175</Words>
  <Characters>1811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Smetchik</dc:creator>
  <cp:lastModifiedBy>ZamDirector</cp:lastModifiedBy>
  <cp:revision>4</cp:revision>
  <cp:lastPrinted>2025-07-10T06:27:00Z</cp:lastPrinted>
  <dcterms:created xsi:type="dcterms:W3CDTF">2025-07-10T06:31:00Z</dcterms:created>
  <dcterms:modified xsi:type="dcterms:W3CDTF">2025-07-10T06:46:00Z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1049-11.2.0.8684</vt:lpwstr>
  </property>
</Properties>
</file>