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47" w:rsidRDefault="00317373" w:rsidP="00317373">
      <w:pPr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317373" w:rsidRDefault="00317373" w:rsidP="00317373">
      <w:pPr>
        <w:jc w:val="center"/>
        <w:rPr>
          <w:b/>
          <w:lang w:val="uk-UA"/>
        </w:rPr>
      </w:pPr>
    </w:p>
    <w:p w:rsidR="00317373" w:rsidRDefault="00317373" w:rsidP="00C0478B">
      <w:pPr>
        <w:ind w:firstLine="567"/>
        <w:jc w:val="both"/>
        <w:rPr>
          <w:b/>
          <w:lang w:val="uk-UA"/>
        </w:rPr>
      </w:pPr>
      <w:r w:rsidRPr="00317373">
        <w:rPr>
          <w:b/>
          <w:lang w:val="uk-UA"/>
        </w:rPr>
        <w:t xml:space="preserve">До </w:t>
      </w:r>
      <w:proofErr w:type="spellStart"/>
      <w:r w:rsidRPr="00317373">
        <w:rPr>
          <w:b/>
          <w:lang w:val="uk-UA"/>
        </w:rPr>
        <w:t>проєкту</w:t>
      </w:r>
      <w:proofErr w:type="spellEnd"/>
      <w:r w:rsidRPr="00317373">
        <w:rPr>
          <w:b/>
          <w:lang w:val="uk-UA"/>
        </w:rPr>
        <w:t xml:space="preserve"> рішення Кременчуцької міської ради Полтавської області «</w:t>
      </w:r>
      <w:r w:rsidR="00874EF7" w:rsidRPr="00874EF7">
        <w:rPr>
          <w:rFonts w:eastAsia="Calibri" w:cs="Times New Roman"/>
          <w:b/>
          <w:lang w:val="uk-UA"/>
        </w:rPr>
        <w:t xml:space="preserve">Про </w:t>
      </w:r>
      <w:r w:rsidR="00874EF7" w:rsidRPr="00874EF7">
        <w:rPr>
          <w:rFonts w:eastAsia="Calibri" w:cs="Times New Roman"/>
          <w:b/>
          <w:color w:val="000000" w:themeColor="text1"/>
          <w:lang w:val="uk-UA"/>
        </w:rPr>
        <w:t>внесення змін до відомостей про Кременчуцький міський Центр комплексної реабілітації дітей з інвалідністю Департаменту</w:t>
      </w:r>
      <w:r w:rsidR="00874EF7" w:rsidRPr="00874EF7">
        <w:rPr>
          <w:rFonts w:eastAsia="Calibri" w:cs="Times New Roman"/>
          <w:b/>
          <w:color w:val="000000" w:themeColor="text1"/>
          <w:lang w:val="ru-RU"/>
        </w:rPr>
        <w:t xml:space="preserve"> </w:t>
      </w:r>
      <w:r w:rsidR="00874EF7" w:rsidRPr="00874EF7">
        <w:rPr>
          <w:rFonts w:eastAsia="Calibri" w:cs="Times New Roman"/>
          <w:b/>
          <w:lang w:val="uk-UA"/>
        </w:rPr>
        <w:t>соціального захисту населення</w:t>
      </w:r>
      <w:r w:rsidR="00874EF7" w:rsidRPr="00874EF7">
        <w:rPr>
          <w:rFonts w:eastAsia="Calibri" w:cs="Times New Roman"/>
          <w:b/>
          <w:lang w:val="ru-RU"/>
        </w:rPr>
        <w:t xml:space="preserve"> </w:t>
      </w:r>
      <w:r w:rsidR="00874EF7" w:rsidRPr="00874EF7">
        <w:rPr>
          <w:rFonts w:eastAsia="Calibri" w:cs="Times New Roman"/>
          <w:b/>
          <w:lang w:val="uk-UA"/>
        </w:rPr>
        <w:t>Кременчуцької міської ради</w:t>
      </w:r>
      <w:r w:rsidR="00874EF7" w:rsidRPr="00874EF7">
        <w:rPr>
          <w:rFonts w:eastAsia="Calibri" w:cs="Times New Roman"/>
          <w:b/>
          <w:lang w:val="ru-RU"/>
        </w:rPr>
        <w:t xml:space="preserve"> </w:t>
      </w:r>
      <w:r w:rsidR="00874EF7" w:rsidRPr="00874EF7">
        <w:rPr>
          <w:rFonts w:eastAsia="Calibri" w:cs="Times New Roman"/>
          <w:b/>
          <w:lang w:val="uk-UA"/>
        </w:rPr>
        <w:t>Кременчуцького району</w:t>
      </w:r>
      <w:r w:rsidR="00874EF7" w:rsidRPr="00874EF7">
        <w:rPr>
          <w:rFonts w:eastAsia="Calibri" w:cs="Times New Roman"/>
          <w:b/>
          <w:lang w:val="ru-RU"/>
        </w:rPr>
        <w:t xml:space="preserve"> </w:t>
      </w:r>
      <w:r w:rsidR="00874EF7" w:rsidRPr="00874EF7">
        <w:rPr>
          <w:rFonts w:eastAsia="Calibri" w:cs="Times New Roman"/>
          <w:b/>
          <w:lang w:val="uk-UA"/>
        </w:rPr>
        <w:t>Полтавської області та затвердження</w:t>
      </w:r>
      <w:r w:rsidR="00874EF7" w:rsidRPr="00874EF7">
        <w:rPr>
          <w:rFonts w:eastAsia="Calibri" w:cs="Times New Roman"/>
          <w:b/>
          <w:lang w:val="ru-RU"/>
        </w:rPr>
        <w:t xml:space="preserve"> </w:t>
      </w:r>
      <w:r w:rsidR="006362F1">
        <w:rPr>
          <w:rFonts w:eastAsia="Calibri" w:cs="Times New Roman"/>
          <w:b/>
          <w:lang w:val="ru-RU"/>
        </w:rPr>
        <w:t xml:space="preserve">нової редакції </w:t>
      </w:r>
      <w:r w:rsidR="00874EF7" w:rsidRPr="00874EF7">
        <w:rPr>
          <w:rFonts w:eastAsia="Calibri" w:cs="Times New Roman"/>
          <w:b/>
          <w:lang w:val="uk-UA"/>
        </w:rPr>
        <w:t>Положення</w:t>
      </w:r>
      <w:r w:rsidRPr="00317373">
        <w:rPr>
          <w:b/>
          <w:lang w:val="uk-UA"/>
        </w:rPr>
        <w:t>»</w:t>
      </w:r>
    </w:p>
    <w:p w:rsidR="004623C0" w:rsidRDefault="004623C0" w:rsidP="005B61A4">
      <w:pPr>
        <w:ind w:firstLine="709"/>
        <w:jc w:val="both"/>
        <w:rPr>
          <w:b/>
          <w:lang w:val="uk-UA"/>
        </w:rPr>
      </w:pPr>
    </w:p>
    <w:p w:rsidR="00BD6538" w:rsidRDefault="00C238C5" w:rsidP="00BD6538">
      <w:pPr>
        <w:ind w:right="-141" w:firstLine="708"/>
        <w:contextualSpacing/>
        <w:jc w:val="both"/>
        <w:rPr>
          <w:rFonts w:eastAsia="Calibri" w:cs="Times New Roman"/>
          <w:szCs w:val="28"/>
          <w:lang w:val="uk-UA"/>
        </w:rPr>
      </w:pPr>
      <w:r>
        <w:rPr>
          <w:lang w:val="uk-UA"/>
        </w:rPr>
        <w:t>З метою приведення у відповідність до вимог законодавства установчих документів юридичної особи, у</w:t>
      </w:r>
      <w:r w:rsidR="00D52FC9">
        <w:rPr>
          <w:lang w:val="uk-UA"/>
        </w:rPr>
        <w:t xml:space="preserve"> зв’язку </w:t>
      </w:r>
      <w:r w:rsidR="00921E08">
        <w:rPr>
          <w:lang w:val="uk-UA"/>
        </w:rPr>
        <w:t>з розширенням переліку послуг, шо надає Кременчуцький міський Центр комплексної реабілітації дітей з інвалідністю</w:t>
      </w:r>
      <w:r w:rsidR="006520A9">
        <w:rPr>
          <w:lang w:val="uk-UA"/>
        </w:rPr>
        <w:t xml:space="preserve">, а саме: запровадження </w:t>
      </w:r>
      <w:r w:rsidR="00D52FC9">
        <w:rPr>
          <w:lang w:val="uk-UA"/>
        </w:rPr>
        <w:t>та організація</w:t>
      </w:r>
      <w:r w:rsidR="00263FAA">
        <w:rPr>
          <w:lang w:val="uk-UA"/>
        </w:rPr>
        <w:t xml:space="preserve"> надання </w:t>
      </w:r>
      <w:r w:rsidR="006520A9">
        <w:rPr>
          <w:lang w:val="uk-UA"/>
        </w:rPr>
        <w:t>послуги раннього втручання,</w:t>
      </w:r>
      <w:r w:rsidR="00294EB1" w:rsidRPr="00C238C5">
        <w:rPr>
          <w:lang w:val="uk-UA"/>
        </w:rPr>
        <w:t xml:space="preserve"> </w:t>
      </w:r>
      <w:r w:rsidR="00BD6538" w:rsidRPr="00BD6538">
        <w:rPr>
          <w:rFonts w:eastAsia="Calibri" w:cs="Times New Roman"/>
          <w:szCs w:val="28"/>
          <w:lang w:val="uk-UA"/>
        </w:rPr>
        <w:t>виникла не</w:t>
      </w:r>
      <w:r w:rsidR="00263FAA">
        <w:rPr>
          <w:rFonts w:eastAsia="Calibri" w:cs="Times New Roman"/>
          <w:szCs w:val="28"/>
          <w:lang w:val="uk-UA"/>
        </w:rPr>
        <w:t xml:space="preserve">обхідність у </w:t>
      </w:r>
      <w:r w:rsidR="00D06F97">
        <w:rPr>
          <w:rFonts w:eastAsia="Calibri" w:cs="Times New Roman"/>
          <w:szCs w:val="28"/>
          <w:lang w:val="uk-UA"/>
        </w:rPr>
        <w:t xml:space="preserve">внесенні відповідних змін </w:t>
      </w:r>
      <w:r w:rsidR="00213EAC">
        <w:rPr>
          <w:rFonts w:eastAsia="Calibri" w:cs="Times New Roman"/>
          <w:szCs w:val="28"/>
          <w:lang w:val="uk-UA"/>
        </w:rPr>
        <w:t xml:space="preserve">до Положення про Кременчуцький міський Центр комплексної реабілітації дітей з інвалідністю </w:t>
      </w:r>
      <w:r w:rsidR="0073249F">
        <w:rPr>
          <w:rFonts w:eastAsia="Calibri" w:cs="Times New Roman"/>
          <w:szCs w:val="28"/>
          <w:lang w:val="uk-UA"/>
        </w:rPr>
        <w:t>Д</w:t>
      </w:r>
      <w:r w:rsidR="0073249F" w:rsidRPr="00BD6538">
        <w:rPr>
          <w:rFonts w:eastAsia="Calibri" w:cs="Times New Roman"/>
          <w:szCs w:val="28"/>
          <w:lang w:val="uk-UA"/>
        </w:rPr>
        <w:t>епартаменту соціального захисту населення</w:t>
      </w:r>
      <w:r w:rsidR="0073249F">
        <w:rPr>
          <w:rFonts w:eastAsia="Calibri" w:cs="Times New Roman"/>
          <w:szCs w:val="28"/>
          <w:lang w:val="uk-UA"/>
        </w:rPr>
        <w:t xml:space="preserve"> Кременч</w:t>
      </w:r>
      <w:r w:rsidR="0073249F" w:rsidRPr="00BD6538">
        <w:rPr>
          <w:rFonts w:eastAsia="Calibri" w:cs="Times New Roman"/>
          <w:szCs w:val="28"/>
          <w:lang w:val="uk-UA"/>
        </w:rPr>
        <w:t xml:space="preserve">уцької міської ради </w:t>
      </w:r>
      <w:r w:rsidR="0073249F">
        <w:rPr>
          <w:rFonts w:eastAsia="Calibri" w:cs="Times New Roman"/>
          <w:szCs w:val="28"/>
          <w:lang w:val="uk-UA"/>
        </w:rPr>
        <w:t xml:space="preserve">Кременчуцького району </w:t>
      </w:r>
      <w:r w:rsidR="0073249F" w:rsidRPr="00BD6538">
        <w:rPr>
          <w:rFonts w:eastAsia="Calibri" w:cs="Times New Roman"/>
          <w:szCs w:val="28"/>
          <w:lang w:val="uk-UA"/>
        </w:rPr>
        <w:t>Полтавської області</w:t>
      </w:r>
      <w:r w:rsidR="0073249F">
        <w:rPr>
          <w:rFonts w:eastAsia="Calibri" w:cs="Times New Roman"/>
          <w:szCs w:val="28"/>
          <w:lang w:val="uk-UA"/>
        </w:rPr>
        <w:t xml:space="preserve"> </w:t>
      </w:r>
      <w:r w:rsidR="00D06F97">
        <w:rPr>
          <w:rFonts w:eastAsia="Calibri" w:cs="Times New Roman"/>
          <w:szCs w:val="28"/>
          <w:lang w:val="uk-UA"/>
        </w:rPr>
        <w:t xml:space="preserve">та </w:t>
      </w:r>
      <w:r w:rsidR="00263FAA">
        <w:rPr>
          <w:rFonts w:eastAsia="Calibri" w:cs="Times New Roman"/>
          <w:szCs w:val="28"/>
          <w:lang w:val="uk-UA"/>
        </w:rPr>
        <w:t>затвердженні нового</w:t>
      </w:r>
      <w:r w:rsidR="00BD6538" w:rsidRPr="00BD6538">
        <w:rPr>
          <w:rFonts w:eastAsia="Calibri" w:cs="Times New Roman"/>
          <w:szCs w:val="28"/>
          <w:lang w:val="uk-UA"/>
        </w:rPr>
        <w:t xml:space="preserve"> рішення «</w:t>
      </w:r>
      <w:r w:rsidR="00236CCA">
        <w:rPr>
          <w:rFonts w:eastAsia="Calibri" w:cs="Times New Roman"/>
          <w:szCs w:val="28"/>
          <w:lang w:val="uk-UA"/>
        </w:rPr>
        <w:t xml:space="preserve">Про </w:t>
      </w:r>
      <w:r w:rsidR="000C43D4">
        <w:rPr>
          <w:rFonts w:eastAsia="Calibri" w:cs="Times New Roman"/>
          <w:szCs w:val="28"/>
          <w:lang w:val="uk-UA"/>
        </w:rPr>
        <w:t xml:space="preserve">внесення змін до відомостей про </w:t>
      </w:r>
      <w:r w:rsidR="00B5364D">
        <w:rPr>
          <w:rFonts w:eastAsia="Calibri" w:cs="Times New Roman"/>
          <w:szCs w:val="28"/>
          <w:lang w:val="uk-UA"/>
        </w:rPr>
        <w:t>Кременчуцький міський Центр</w:t>
      </w:r>
      <w:r w:rsidR="00BD6538" w:rsidRPr="00BD6538">
        <w:rPr>
          <w:rFonts w:eastAsia="Calibri" w:cs="Times New Roman"/>
          <w:szCs w:val="28"/>
          <w:lang w:val="uk-UA"/>
        </w:rPr>
        <w:t xml:space="preserve"> комплексної реабілітації дітей з інвалідністю</w:t>
      </w:r>
      <w:r w:rsidR="00B5364D">
        <w:rPr>
          <w:rFonts w:eastAsia="Calibri" w:cs="Times New Roman"/>
          <w:szCs w:val="28"/>
          <w:lang w:val="uk-UA"/>
        </w:rPr>
        <w:t xml:space="preserve"> Д</w:t>
      </w:r>
      <w:r w:rsidR="00BD6538" w:rsidRPr="00BD6538">
        <w:rPr>
          <w:rFonts w:eastAsia="Calibri" w:cs="Times New Roman"/>
          <w:szCs w:val="28"/>
          <w:lang w:val="uk-UA"/>
        </w:rPr>
        <w:t>епартаменту соціального захисту населення</w:t>
      </w:r>
      <w:r w:rsidR="00B5364D">
        <w:rPr>
          <w:rFonts w:eastAsia="Calibri" w:cs="Times New Roman"/>
          <w:szCs w:val="28"/>
          <w:lang w:val="uk-UA"/>
        </w:rPr>
        <w:t xml:space="preserve"> Кременч</w:t>
      </w:r>
      <w:r w:rsidR="00BD6538" w:rsidRPr="00BD6538">
        <w:rPr>
          <w:rFonts w:eastAsia="Calibri" w:cs="Times New Roman"/>
          <w:szCs w:val="28"/>
          <w:lang w:val="uk-UA"/>
        </w:rPr>
        <w:t xml:space="preserve">уцької міської ради </w:t>
      </w:r>
      <w:r w:rsidR="00B5364D">
        <w:rPr>
          <w:rFonts w:eastAsia="Calibri" w:cs="Times New Roman"/>
          <w:szCs w:val="28"/>
          <w:lang w:val="uk-UA"/>
        </w:rPr>
        <w:t xml:space="preserve">Кременчуцького району </w:t>
      </w:r>
      <w:r w:rsidR="00BD6538" w:rsidRPr="00BD6538">
        <w:rPr>
          <w:rFonts w:eastAsia="Calibri" w:cs="Times New Roman"/>
          <w:szCs w:val="28"/>
          <w:lang w:val="uk-UA"/>
        </w:rPr>
        <w:t>Полтавської області</w:t>
      </w:r>
      <w:r w:rsidR="00265768">
        <w:rPr>
          <w:rFonts w:eastAsia="Calibri" w:cs="Times New Roman"/>
          <w:szCs w:val="28"/>
          <w:lang w:val="uk-UA"/>
        </w:rPr>
        <w:t xml:space="preserve"> </w:t>
      </w:r>
      <w:r w:rsidR="00BF040D">
        <w:rPr>
          <w:rFonts w:eastAsia="Calibri" w:cs="Times New Roman"/>
          <w:szCs w:val="28"/>
          <w:lang w:val="uk-UA"/>
        </w:rPr>
        <w:t xml:space="preserve">та затвердження </w:t>
      </w:r>
      <w:r w:rsidR="00E664EB">
        <w:rPr>
          <w:rFonts w:eastAsia="Calibri" w:cs="Times New Roman"/>
          <w:szCs w:val="28"/>
          <w:lang w:val="uk-UA"/>
        </w:rPr>
        <w:t xml:space="preserve">нової редакції </w:t>
      </w:r>
      <w:r w:rsidR="00BF040D">
        <w:rPr>
          <w:rFonts w:eastAsia="Calibri" w:cs="Times New Roman"/>
          <w:szCs w:val="28"/>
          <w:lang w:val="uk-UA"/>
        </w:rPr>
        <w:t>Положення</w:t>
      </w:r>
      <w:r w:rsidR="00BD6538" w:rsidRPr="00BD6538">
        <w:rPr>
          <w:rFonts w:eastAsia="Calibri" w:cs="Times New Roman"/>
          <w:szCs w:val="28"/>
          <w:lang w:val="uk-UA"/>
        </w:rPr>
        <w:t>».</w:t>
      </w:r>
    </w:p>
    <w:p w:rsidR="00584E43" w:rsidRPr="00BD6538" w:rsidRDefault="00584E43" w:rsidP="00BD6538">
      <w:pPr>
        <w:ind w:right="-141" w:firstLine="708"/>
        <w:contextualSpacing/>
        <w:jc w:val="both"/>
        <w:rPr>
          <w:rFonts w:eastAsia="Calibri" w:cs="Times New Roman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84E43" w:rsidRPr="008901D3" w:rsidTr="002F120B">
        <w:tc>
          <w:tcPr>
            <w:tcW w:w="9855" w:type="dxa"/>
            <w:gridSpan w:val="2"/>
          </w:tcPr>
          <w:p w:rsidR="00584E43" w:rsidRDefault="00127DDD" w:rsidP="00127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Таблиця </w:t>
            </w:r>
            <w:r w:rsidR="008A1279">
              <w:rPr>
                <w:b/>
                <w:lang w:val="uk-UA"/>
              </w:rPr>
              <w:t xml:space="preserve">змін та </w:t>
            </w:r>
            <w:r>
              <w:rPr>
                <w:b/>
                <w:lang w:val="uk-UA"/>
              </w:rPr>
              <w:t>розбіжностей</w:t>
            </w:r>
          </w:p>
          <w:p w:rsidR="00127DDD" w:rsidRPr="00127DDD" w:rsidRDefault="00662693" w:rsidP="00127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Положення про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</w:t>
            </w:r>
          </w:p>
        </w:tc>
      </w:tr>
      <w:tr w:rsidR="00584E43" w:rsidRPr="000F4335" w:rsidTr="00584E43">
        <w:tc>
          <w:tcPr>
            <w:tcW w:w="4927" w:type="dxa"/>
          </w:tcPr>
          <w:p w:rsidR="00584E43" w:rsidRPr="000F4335" w:rsidRDefault="000F4335" w:rsidP="000F43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Було</w:t>
            </w:r>
          </w:p>
        </w:tc>
        <w:tc>
          <w:tcPr>
            <w:tcW w:w="4928" w:type="dxa"/>
          </w:tcPr>
          <w:p w:rsidR="00584E43" w:rsidRPr="000F4335" w:rsidRDefault="000F4335" w:rsidP="000F43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Стало</w:t>
            </w:r>
          </w:p>
        </w:tc>
      </w:tr>
      <w:tr w:rsidR="00452BBF" w:rsidTr="00107FE9">
        <w:tc>
          <w:tcPr>
            <w:tcW w:w="9855" w:type="dxa"/>
            <w:gridSpan w:val="2"/>
          </w:tcPr>
          <w:p w:rsidR="00452BBF" w:rsidRPr="00FA0182" w:rsidRDefault="00452BBF" w:rsidP="00452BBF">
            <w:pPr>
              <w:jc w:val="center"/>
              <w:rPr>
                <w:b/>
                <w:lang w:val="uk-UA"/>
              </w:rPr>
            </w:pPr>
            <w:r w:rsidRPr="00FA0182">
              <w:rPr>
                <w:b/>
                <w:lang w:val="uk-UA"/>
              </w:rPr>
              <w:t>1. Загальні положення</w:t>
            </w:r>
          </w:p>
        </w:tc>
      </w:tr>
      <w:tr w:rsidR="00584E43" w:rsidRPr="008901D3" w:rsidTr="00584E43">
        <w:tc>
          <w:tcPr>
            <w:tcW w:w="4927" w:type="dxa"/>
          </w:tcPr>
          <w:p w:rsidR="00584E43" w:rsidRDefault="00D9530F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1.1. Кременчуцький міський Центр комплексної реабілітації дітей з інвалідністю </w:t>
            </w: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епартаменту соціального захисту населення Кременчуцької міської ради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Кременчуцького району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>Полтавської області</w:t>
            </w:r>
            <w:r w:rsidRPr="00457A4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(далі – Центр),</w:t>
            </w:r>
            <w:r w:rsidRPr="00644645">
              <w:rPr>
                <w:sz w:val="28"/>
                <w:szCs w:val="28"/>
                <w:lang w:val="uk-UA"/>
              </w:rPr>
              <w:t xml:space="preserve"> скорочена назва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644645">
              <w:rPr>
                <w:sz w:val="28"/>
                <w:szCs w:val="28"/>
                <w:lang w:val="uk-UA"/>
              </w:rPr>
              <w:t>КМЦКРДІ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юридична адреса: 39621, Полтавська область, місто Кременчук, вул. Івана Приходька, 21 – реабілітаційна установа соціального захисту населення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 місцевого рівня, цільовим призначенням якої є здійснення комплексу реабілітаційних заходів, спрямованих на створення умов для всебічного розвитку дітей з інвалідністю та/або дітей віком до трьох років (включно), які належать до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lastRenderedPageBreak/>
              <w:t>групи ризику щодо отримання інвалідності (далі – діти групи ризику), засвоєння ними знань, умінь, навичок, досягнення і збереження їхньої максимальної незалежності, фізичних, розумових, соціальних, професійних здібностей з метою максимальної реалізації особистого потенціалу.</w:t>
            </w:r>
            <w:r w:rsidRPr="00F52D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84BA6" w:rsidRPr="009F2855" w:rsidRDefault="00784BA6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784BA6" w:rsidRPr="009F2855" w:rsidRDefault="00784BA6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784BA6" w:rsidRPr="009F2855" w:rsidRDefault="00784BA6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784BA6" w:rsidRPr="009F2855" w:rsidRDefault="00784BA6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784BA6" w:rsidRPr="009F2855" w:rsidRDefault="00784BA6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784BA6" w:rsidRPr="009F2855" w:rsidRDefault="00784BA6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784BA6" w:rsidRPr="009F2855" w:rsidRDefault="00784BA6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784BA6" w:rsidRPr="009F2855" w:rsidRDefault="00784BA6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784BA6" w:rsidRDefault="00784BA6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F1D6E" w:rsidRPr="009F2855" w:rsidRDefault="00CF1D6E" w:rsidP="00D9530F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784BA6" w:rsidRDefault="00784BA6" w:rsidP="008901D3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4928" w:type="dxa"/>
          </w:tcPr>
          <w:p w:rsidR="00CF1D6E" w:rsidRDefault="00CF1D6E" w:rsidP="00CF1D6E">
            <w:pPr>
              <w:pStyle w:val="rvps2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0" w:firstLine="56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Кременчуцький міський Центр комплексної реабілітації дітей з інвалідністю </w:t>
            </w: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епартаменту соціального захисту населення Кременчуцької міської ради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Кременчуцького району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>Полтавської області</w:t>
            </w:r>
            <w:r w:rsidRPr="00457A4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(далі – Центр),</w:t>
            </w:r>
            <w:r w:rsidRPr="0064464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реабілітаційна установа соціального захисту населення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 місцевого рівня, цільовим призначенням якої є здійснення комплексу реабілітаційних заходів, спрямованих на створення умов для всебічного розвитку дітей з інвалідністю 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дітей віком до </w:t>
            </w:r>
            <w:r w:rsidRPr="00761C97">
              <w:rPr>
                <w:color w:val="000000"/>
                <w:sz w:val="28"/>
                <w:szCs w:val="28"/>
                <w:lang w:val="uk-UA"/>
              </w:rPr>
              <w:t>3-</w:t>
            </w:r>
            <w:r>
              <w:rPr>
                <w:color w:val="000000"/>
                <w:sz w:val="28"/>
                <w:szCs w:val="28"/>
                <w:lang w:val="uk-UA"/>
              </w:rPr>
              <w:t>х років включно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, які належать до групи ризику щодо отримання інвалідності (далі – діти групи ризику), засвоєння ними знань, умінь, навичок,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lastRenderedPageBreak/>
              <w:t>досягнення і збереження їхньої максимальної незалежності, фізичних, розумових, соціальних, професійних здібностей з метою максимальної реалізації особистого потенціалу.</w:t>
            </w:r>
            <w:r w:rsidRPr="00F52D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1750D" w:rsidRPr="008D1537" w:rsidRDefault="0011750D" w:rsidP="0011750D">
            <w:pPr>
              <w:pStyle w:val="a4"/>
              <w:numPr>
                <w:ilvl w:val="2"/>
                <w:numId w:val="1"/>
              </w:numPr>
              <w:tabs>
                <w:tab w:val="left" w:pos="709"/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D153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Повне найменування українською мовою: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750D" w:rsidRPr="00452D1B" w:rsidRDefault="0011750D" w:rsidP="0011750D">
            <w:pPr>
              <w:pStyle w:val="a4"/>
              <w:tabs>
                <w:tab w:val="left" w:pos="851"/>
              </w:tabs>
              <w:ind w:left="1134" w:hanging="109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скорочене найменування – </w:t>
            </w:r>
            <w:proofErr w:type="spellStart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КМЦКРДІ</w:t>
            </w:r>
            <w:proofErr w:type="spellEnd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11750D" w:rsidRPr="008D1537" w:rsidRDefault="0011750D" w:rsidP="0011750D">
            <w:pPr>
              <w:pStyle w:val="a4"/>
              <w:numPr>
                <w:ilvl w:val="2"/>
                <w:numId w:val="1"/>
              </w:numPr>
              <w:tabs>
                <w:tab w:val="left" w:pos="709"/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D153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Повне найменування англійською мовою:</w:t>
            </w:r>
            <w:r w:rsidRPr="00427671">
              <w:rPr>
                <w:lang w:val="en-US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Kremenchuk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City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Center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for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Comprehensive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Rehabilitation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of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Children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with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Disabilities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of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the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Department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of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Social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Protection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of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the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Population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of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the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Kremenchuk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City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Council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of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the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Kremenchuk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District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of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the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Poltava</w:t>
            </w:r>
            <w:proofErr w:type="spellEnd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2767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Region</w:t>
            </w:r>
            <w:proofErr w:type="spellEnd"/>
            <w:r w:rsidRPr="008D153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11750D" w:rsidRPr="00452D1B" w:rsidRDefault="0011750D" w:rsidP="0011750D">
            <w:pPr>
              <w:pStyle w:val="a4"/>
              <w:tabs>
                <w:tab w:val="left" w:pos="567"/>
              </w:tabs>
              <w:ind w:left="1134" w:hanging="8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скорочене найменування – </w:t>
            </w:r>
            <w:proofErr w:type="spellStart"/>
            <w:r w:rsidRPr="00C176B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KСС</w:t>
            </w:r>
            <w:proofErr w:type="spellEnd"/>
            <w:r w:rsidRPr="00C176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176B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</w:t>
            </w:r>
            <w:r w:rsidRPr="00C176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176B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11750D" w:rsidRPr="00452D1B" w:rsidRDefault="0011750D" w:rsidP="0011750D">
            <w:pPr>
              <w:pStyle w:val="a4"/>
              <w:numPr>
                <w:ilvl w:val="1"/>
                <w:numId w:val="1"/>
              </w:numPr>
              <w:tabs>
                <w:tab w:val="left" w:pos="426"/>
                <w:tab w:val="left" w:pos="993"/>
                <w:tab w:val="left" w:pos="1276"/>
              </w:tabs>
              <w:ind w:left="0"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Місце</w:t>
            </w:r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знаходження Кременчуцького міського Центру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області:</w:t>
            </w:r>
          </w:p>
          <w:p w:rsidR="0011750D" w:rsidRPr="00BF09A5" w:rsidRDefault="0011750D" w:rsidP="0011750D">
            <w:pPr>
              <w:pStyle w:val="a4"/>
              <w:tabs>
                <w:tab w:val="left" w:pos="426"/>
              </w:tabs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1.2.1. </w:t>
            </w:r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Українською мовою: вул. Івана Приходька, 21, м. Кременч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ук, Полтавська область, Україна.</w:t>
            </w:r>
          </w:p>
          <w:p w:rsidR="0011750D" w:rsidRPr="00200112" w:rsidRDefault="0011750D" w:rsidP="0011750D">
            <w:pPr>
              <w:pStyle w:val="a4"/>
              <w:numPr>
                <w:ilvl w:val="2"/>
                <w:numId w:val="2"/>
              </w:numPr>
              <w:tabs>
                <w:tab w:val="left" w:pos="426"/>
                <w:tab w:val="left" w:pos="1134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Англійською мовою: </w:t>
            </w:r>
            <w:proofErr w:type="spellStart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vul</w:t>
            </w:r>
            <w:proofErr w:type="spellEnd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Ivana</w:t>
            </w:r>
            <w:proofErr w:type="spellEnd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Prykhodka</w:t>
            </w:r>
            <w:proofErr w:type="spellEnd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21, m. </w:t>
            </w:r>
            <w:proofErr w:type="spellStart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Kremenchuk</w:t>
            </w:r>
            <w:proofErr w:type="spellEnd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Poltavska</w:t>
            </w:r>
            <w:proofErr w:type="spellEnd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oblаst</w:t>
            </w:r>
            <w:proofErr w:type="spellEnd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Ukraine</w:t>
            </w:r>
            <w:proofErr w:type="spellEnd"/>
            <w:r w:rsidRPr="00452D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584E43" w:rsidRDefault="00584E43" w:rsidP="004623C0">
            <w:pPr>
              <w:jc w:val="both"/>
              <w:rPr>
                <w:lang w:val="uk-UA"/>
              </w:rPr>
            </w:pPr>
          </w:p>
          <w:p w:rsidR="00D25300" w:rsidRPr="00D25300" w:rsidRDefault="00D25300" w:rsidP="00D25300">
            <w:pPr>
              <w:shd w:val="clear" w:color="auto" w:fill="FFFFFF"/>
              <w:ind w:firstLine="60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5300">
              <w:rPr>
                <w:rFonts w:eastAsia="Times New Roman" w:cs="Times New Roman"/>
                <w:b/>
                <w:color w:val="000000"/>
                <w:szCs w:val="28"/>
                <w:lang w:val="uk-UA" w:eastAsia="ru-RU"/>
              </w:rPr>
              <w:t>Змінено порядок нумерації пунктів розділу</w:t>
            </w:r>
          </w:p>
          <w:p w:rsidR="00784BA6" w:rsidRDefault="00784BA6" w:rsidP="004623C0">
            <w:pPr>
              <w:jc w:val="both"/>
              <w:rPr>
                <w:lang w:val="uk-UA"/>
              </w:rPr>
            </w:pPr>
          </w:p>
        </w:tc>
      </w:tr>
      <w:tr w:rsidR="00FA0182" w:rsidTr="00B8404F">
        <w:tc>
          <w:tcPr>
            <w:tcW w:w="9855" w:type="dxa"/>
            <w:gridSpan w:val="2"/>
          </w:tcPr>
          <w:p w:rsidR="00FA0182" w:rsidRDefault="00FA0182" w:rsidP="00FA018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B327A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2. Завдання Центру</w:t>
            </w:r>
          </w:p>
        </w:tc>
      </w:tr>
      <w:tr w:rsidR="003E5934" w:rsidRPr="008901D3" w:rsidTr="00584E43">
        <w:tc>
          <w:tcPr>
            <w:tcW w:w="4927" w:type="dxa"/>
          </w:tcPr>
          <w:p w:rsidR="00ED5729" w:rsidRDefault="00ED5729" w:rsidP="00ED5729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>2.1. Центр забезпечує:</w:t>
            </w:r>
          </w:p>
          <w:p w:rsidR="003E5934" w:rsidRPr="008901D3" w:rsidRDefault="00932DDD" w:rsidP="00932DDD">
            <w:pPr>
              <w:jc w:val="both"/>
              <w:rPr>
                <w:b/>
                <w:szCs w:val="28"/>
              </w:rPr>
            </w:pPr>
            <w:r w:rsidRPr="00932DDD">
              <w:rPr>
                <w:b/>
                <w:szCs w:val="28"/>
                <w:lang w:val="ru-RU"/>
              </w:rPr>
              <w:t>пункт</w:t>
            </w:r>
            <w:r w:rsidRPr="008901D3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  <w:lang w:val="ru-RU"/>
              </w:rPr>
              <w:t>щодо</w:t>
            </w:r>
            <w:proofErr w:type="spellEnd"/>
            <w:r w:rsidRPr="008901D3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  <w:lang w:val="ru-RU"/>
              </w:rPr>
              <w:t>раннього</w:t>
            </w:r>
            <w:proofErr w:type="spellEnd"/>
            <w:r w:rsidRPr="008901D3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  <w:lang w:val="ru-RU"/>
              </w:rPr>
              <w:t>втручання</w:t>
            </w:r>
            <w:proofErr w:type="spellEnd"/>
            <w:r w:rsidRPr="008901D3">
              <w:rPr>
                <w:b/>
                <w:szCs w:val="28"/>
              </w:rPr>
              <w:t xml:space="preserve"> </w:t>
            </w:r>
            <w:proofErr w:type="spellStart"/>
            <w:r w:rsidRPr="00932DDD">
              <w:rPr>
                <w:b/>
                <w:szCs w:val="28"/>
                <w:lang w:val="ru-RU"/>
              </w:rPr>
              <w:t>відсутній</w:t>
            </w:r>
            <w:proofErr w:type="spellEnd"/>
          </w:p>
          <w:p w:rsidR="00C74657" w:rsidRPr="008901D3" w:rsidRDefault="00C74657" w:rsidP="00932DDD">
            <w:pPr>
              <w:jc w:val="both"/>
              <w:rPr>
                <w:b/>
                <w:szCs w:val="28"/>
              </w:rPr>
            </w:pPr>
          </w:p>
          <w:p w:rsidR="00C74657" w:rsidRPr="008901D3" w:rsidRDefault="00C74657" w:rsidP="00932DDD">
            <w:pPr>
              <w:jc w:val="both"/>
              <w:rPr>
                <w:b/>
                <w:szCs w:val="28"/>
              </w:rPr>
            </w:pPr>
          </w:p>
          <w:p w:rsidR="00C74657" w:rsidRPr="008901D3" w:rsidRDefault="00C74657" w:rsidP="00932DDD">
            <w:pPr>
              <w:jc w:val="both"/>
              <w:rPr>
                <w:b/>
                <w:szCs w:val="28"/>
              </w:rPr>
            </w:pPr>
          </w:p>
          <w:p w:rsidR="00C74657" w:rsidRPr="008901D3" w:rsidRDefault="00C74657" w:rsidP="00932DDD">
            <w:pPr>
              <w:jc w:val="both"/>
              <w:rPr>
                <w:b/>
                <w:szCs w:val="28"/>
              </w:rPr>
            </w:pPr>
          </w:p>
          <w:p w:rsidR="00C74657" w:rsidRPr="008901D3" w:rsidRDefault="00C74657" w:rsidP="00932DDD">
            <w:pPr>
              <w:jc w:val="both"/>
              <w:rPr>
                <w:b/>
                <w:szCs w:val="28"/>
              </w:rPr>
            </w:pPr>
          </w:p>
          <w:p w:rsidR="00C74657" w:rsidRPr="00FB327A" w:rsidRDefault="00C74657" w:rsidP="00C74657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2.2. </w:t>
            </w:r>
            <w:r>
              <w:rPr>
                <w:color w:val="000000"/>
                <w:sz w:val="28"/>
                <w:szCs w:val="28"/>
                <w:lang w:val="uk-UA"/>
              </w:rPr>
              <w:t>Центр, у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 разі потреби та в межах фінансових можливостей, забезпечує транспортним обслуговуванням на безоплатній основі дітей з інвалідністю, які проходять реабілітацію в закладі,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 межах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>м. Кременчука</w:t>
            </w:r>
            <w:r>
              <w:rPr>
                <w:color w:val="000000"/>
                <w:sz w:val="28"/>
                <w:szCs w:val="28"/>
                <w:lang w:val="uk-UA"/>
              </w:rPr>
              <w:t>, з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>окрема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 перевезення від транспортних вузлів до місця розташування Центру та/або до зупинок громадського транспорту поблизу місця їхнього проживання/перебування.</w:t>
            </w:r>
          </w:p>
          <w:p w:rsidR="00C74657" w:rsidRPr="00C74657" w:rsidRDefault="00C74657" w:rsidP="00932DDD">
            <w:pPr>
              <w:jc w:val="both"/>
              <w:rPr>
                <w:b/>
                <w:szCs w:val="28"/>
                <w:lang w:val="uk-UA"/>
              </w:rPr>
            </w:pPr>
          </w:p>
          <w:p w:rsidR="00C74657" w:rsidRPr="008901D3" w:rsidRDefault="00C74657" w:rsidP="00932DDD">
            <w:pPr>
              <w:jc w:val="both"/>
            </w:pPr>
          </w:p>
        </w:tc>
        <w:tc>
          <w:tcPr>
            <w:tcW w:w="4928" w:type="dxa"/>
          </w:tcPr>
          <w:p w:rsidR="00ED5729" w:rsidRDefault="00ED5729" w:rsidP="00ED5729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lastRenderedPageBreak/>
              <w:t>2.1. Центр забезпечує:</w:t>
            </w:r>
          </w:p>
          <w:p w:rsidR="00ED5729" w:rsidRPr="00ED5729" w:rsidRDefault="00ED5729" w:rsidP="00ED5729">
            <w:pPr>
              <w:shd w:val="clear" w:color="auto" w:fill="FFFFFF"/>
              <w:ind w:firstLine="567"/>
              <w:jc w:val="both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187411747"/>
            <w:r w:rsidRPr="00ED5729">
              <w:rPr>
                <w:rFonts w:eastAsia="Times New Roman" w:cs="Times New Roman"/>
                <w:szCs w:val="28"/>
                <w:lang w:val="uk-UA" w:eastAsia="ru-RU"/>
              </w:rPr>
              <w:t xml:space="preserve">- надання послуги раннього втручання дітям з високим ризиком </w:t>
            </w:r>
            <w:r w:rsidRPr="00ED572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виникнення фізичних, сенсорних, психічних, розумових порушень розвитку внаслідок несприятливої дії соціальних та біологічних факторів ризику;</w:t>
            </w:r>
            <w:bookmarkEnd w:id="0"/>
          </w:p>
          <w:p w:rsidR="00674C05" w:rsidRDefault="00674C05" w:rsidP="00674C05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2.2. </w:t>
            </w:r>
            <w:r>
              <w:rPr>
                <w:color w:val="000000"/>
                <w:sz w:val="28"/>
                <w:szCs w:val="28"/>
                <w:lang w:val="uk-UA"/>
              </w:rPr>
              <w:t>Центр, у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 разі потреби та в межах фінансових можливостей, забезпечує транспортним обслуговуванням на безоплатній основі дітей з інвалідністю, які проходять реабілітацію в закладі,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 межах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>м. Кременчука</w:t>
            </w:r>
            <w:r>
              <w:rPr>
                <w:color w:val="000000"/>
                <w:sz w:val="28"/>
                <w:szCs w:val="28"/>
                <w:lang w:val="uk-UA"/>
              </w:rPr>
              <w:t>, з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>окрема</w:t>
            </w:r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674C05" w:rsidRDefault="00674C05" w:rsidP="00674C05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 перевезення від транспортних вузлів до місця розташування Центру та/або до зупинок громадського транспорту поблизу місця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їхнього проживання/перебування;</w:t>
            </w:r>
          </w:p>
          <w:p w:rsidR="00674C05" w:rsidRPr="00132722" w:rsidRDefault="00674C05" w:rsidP="00674C05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132722">
              <w:rPr>
                <w:color w:val="000000"/>
                <w:sz w:val="28"/>
                <w:szCs w:val="28"/>
                <w:lang w:val="uk-UA"/>
              </w:rPr>
              <w:t>- до місць проведення культурно-розважальних та фізкультурно-оздоровчих заходів, у яких вони беруть участь тощо.</w:t>
            </w:r>
          </w:p>
          <w:p w:rsidR="003E5934" w:rsidRDefault="003E5934" w:rsidP="004623C0">
            <w:pPr>
              <w:jc w:val="both"/>
              <w:rPr>
                <w:lang w:val="uk-UA"/>
              </w:rPr>
            </w:pPr>
          </w:p>
        </w:tc>
      </w:tr>
      <w:tr w:rsidR="0039636A" w:rsidTr="005D7FB0">
        <w:tc>
          <w:tcPr>
            <w:tcW w:w="9855" w:type="dxa"/>
            <w:gridSpan w:val="2"/>
          </w:tcPr>
          <w:p w:rsidR="0039636A" w:rsidRDefault="0039636A" w:rsidP="0039636A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B327A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3. Структура Центру</w:t>
            </w:r>
          </w:p>
        </w:tc>
      </w:tr>
      <w:tr w:rsidR="0039636A" w:rsidRPr="008901D3" w:rsidTr="00584E43">
        <w:tc>
          <w:tcPr>
            <w:tcW w:w="4927" w:type="dxa"/>
          </w:tcPr>
          <w:p w:rsidR="00405E51" w:rsidRPr="00FB327A" w:rsidRDefault="00405E51" w:rsidP="00405E5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>3.1. Структурними підрозділами Центру є:</w:t>
            </w:r>
          </w:p>
          <w:p w:rsidR="00405E51" w:rsidRDefault="00405E51" w:rsidP="00405E5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>1) адміністрація;</w:t>
            </w:r>
          </w:p>
          <w:p w:rsidR="00405E51" w:rsidRPr="00FB327A" w:rsidRDefault="00405E51" w:rsidP="00405E5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група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раннього втручання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>для дітей з інвалідністю та дітей віком до трьох років (включно), які належать до групи ризику щодо отримання інвалідності;</w:t>
            </w:r>
          </w:p>
          <w:p w:rsidR="0039636A" w:rsidRDefault="0039636A" w:rsidP="00817D26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4928" w:type="dxa"/>
          </w:tcPr>
          <w:p w:rsidR="00CC01E7" w:rsidRPr="001A27E5" w:rsidRDefault="00BE66A5" w:rsidP="00CC01E7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3.1. </w:t>
            </w:r>
            <w:r w:rsidR="00CC01E7" w:rsidRPr="00AE5A60">
              <w:rPr>
                <w:sz w:val="28"/>
                <w:szCs w:val="28"/>
                <w:lang w:val="uk-UA"/>
              </w:rPr>
              <w:t>Структура та штатний розпис Центру</w:t>
            </w:r>
            <w:r w:rsidR="00CC01E7">
              <w:rPr>
                <w:sz w:val="28"/>
                <w:szCs w:val="28"/>
                <w:lang w:val="uk-UA"/>
              </w:rPr>
              <w:t xml:space="preserve"> затверджуються директором Д</w:t>
            </w:r>
            <w:r w:rsidR="00CC01E7" w:rsidRPr="00252245">
              <w:rPr>
                <w:sz w:val="28"/>
                <w:szCs w:val="28"/>
                <w:lang w:val="uk-UA"/>
              </w:rPr>
              <w:t xml:space="preserve">епартаменту соціального захисту населення Кременчуцької міської ради </w:t>
            </w:r>
            <w:r w:rsidR="00CC01E7">
              <w:rPr>
                <w:sz w:val="28"/>
                <w:szCs w:val="28"/>
                <w:lang w:val="uk-UA"/>
              </w:rPr>
              <w:t xml:space="preserve">Кременчуцького району </w:t>
            </w:r>
            <w:r w:rsidR="00CC01E7" w:rsidRPr="00252245">
              <w:rPr>
                <w:sz w:val="28"/>
                <w:szCs w:val="28"/>
                <w:lang w:val="uk-UA"/>
              </w:rPr>
              <w:t>Полтавської області</w:t>
            </w:r>
            <w:r w:rsidR="00CC01E7">
              <w:rPr>
                <w:sz w:val="28"/>
                <w:szCs w:val="28"/>
                <w:lang w:val="uk-UA"/>
              </w:rPr>
              <w:t xml:space="preserve"> </w:t>
            </w:r>
            <w:r w:rsidR="00CC01E7" w:rsidRPr="003F346C">
              <w:rPr>
                <w:sz w:val="28"/>
                <w:szCs w:val="28"/>
                <w:lang w:val="uk-UA"/>
              </w:rPr>
              <w:t xml:space="preserve">за погодженням </w:t>
            </w:r>
            <w:r w:rsidR="00CC01E7" w:rsidRPr="001A27E5">
              <w:rPr>
                <w:sz w:val="28"/>
                <w:szCs w:val="28"/>
                <w:lang w:val="uk-UA"/>
              </w:rPr>
              <w:t>з профільним заступником міського голови.</w:t>
            </w:r>
          </w:p>
          <w:p w:rsidR="0039636A" w:rsidRDefault="0039636A" w:rsidP="00921C44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lang w:val="uk-UA"/>
              </w:rPr>
            </w:pPr>
            <w:bookmarkStart w:id="1" w:name="_GoBack"/>
            <w:bookmarkEnd w:id="1"/>
          </w:p>
        </w:tc>
      </w:tr>
      <w:tr w:rsidR="00612E6D" w:rsidRPr="008901D3" w:rsidTr="00C36E74">
        <w:tc>
          <w:tcPr>
            <w:tcW w:w="9855" w:type="dxa"/>
            <w:gridSpan w:val="2"/>
          </w:tcPr>
          <w:p w:rsidR="00612E6D" w:rsidRPr="00FB327A" w:rsidRDefault="00612E6D" w:rsidP="00612E6D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  <w:r w:rsidRPr="009E2D75">
              <w:rPr>
                <w:b/>
                <w:color w:val="000000"/>
                <w:sz w:val="28"/>
                <w:szCs w:val="28"/>
                <w:lang w:val="uk-UA"/>
              </w:rPr>
              <w:t>4. Умови зарахування до Центру та організація реабілітаційного процесу</w:t>
            </w:r>
          </w:p>
        </w:tc>
      </w:tr>
      <w:tr w:rsidR="00612E6D" w:rsidTr="003243D6">
        <w:tc>
          <w:tcPr>
            <w:tcW w:w="4927" w:type="dxa"/>
          </w:tcPr>
          <w:p w:rsidR="006D0261" w:rsidRPr="00D70E94" w:rsidRDefault="006D0261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70E94">
              <w:rPr>
                <w:sz w:val="28"/>
                <w:szCs w:val="28"/>
                <w:lang w:val="uk-UA"/>
              </w:rPr>
              <w:t>4.1. Направлення та зарахування дітей з інвалідністю та дітей віком до трьох років (включно), які належать до групи ризику щодо отримання інвалідності, до Центру проводяться відповідно до діючого законодавства.</w:t>
            </w:r>
          </w:p>
          <w:p w:rsidR="006D0261" w:rsidRDefault="006D0261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2" w:name="n56"/>
            <w:bookmarkEnd w:id="2"/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У виняткових випадках можливе продовження строку перебування дитини з інвалідністю у Центрі після досягнення нею 18 років з метою завершення виконання індивідуального плану реабілітації.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lastRenderedPageBreak/>
              <w:t>Рішення про продовження строку перебування дитини з інвалідністю приймається реабілітаційною комісією Центру.</w:t>
            </w: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7E5EED" w:rsidRDefault="007E5EED" w:rsidP="007E5EED">
            <w:pPr>
              <w:jc w:val="both"/>
              <w:rPr>
                <w:b/>
                <w:szCs w:val="28"/>
                <w:lang w:val="ru-RU"/>
              </w:rPr>
            </w:pPr>
            <w:r w:rsidRPr="00932DDD">
              <w:rPr>
                <w:b/>
                <w:szCs w:val="28"/>
                <w:lang w:val="ru-RU"/>
              </w:rPr>
              <w:t xml:space="preserve">пункт </w:t>
            </w:r>
            <w:proofErr w:type="spellStart"/>
            <w:r>
              <w:rPr>
                <w:b/>
                <w:szCs w:val="28"/>
                <w:lang w:val="ru-RU"/>
              </w:rPr>
              <w:t>щодо</w:t>
            </w:r>
            <w:proofErr w:type="spellEnd"/>
            <w:r>
              <w:rPr>
                <w:b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Cs w:val="28"/>
                <w:lang w:val="ru-RU"/>
              </w:rPr>
              <w:t>раннього</w:t>
            </w:r>
            <w:proofErr w:type="spellEnd"/>
            <w:r>
              <w:rPr>
                <w:b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Cs w:val="28"/>
                <w:lang w:val="ru-RU"/>
              </w:rPr>
              <w:t>втручання</w:t>
            </w:r>
            <w:proofErr w:type="spellEnd"/>
            <w:r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932DDD">
              <w:rPr>
                <w:b/>
                <w:szCs w:val="28"/>
                <w:lang w:val="ru-RU"/>
              </w:rPr>
              <w:t>відсутній</w:t>
            </w:r>
            <w:proofErr w:type="spellEnd"/>
          </w:p>
          <w:p w:rsidR="007E5EED" w:rsidRPr="00FB327A" w:rsidRDefault="007E5EED" w:rsidP="006D0261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612E6D" w:rsidRPr="00FB327A" w:rsidRDefault="00612E6D" w:rsidP="00C37373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6D0261" w:rsidRPr="006D0261" w:rsidRDefault="006D0261" w:rsidP="006D0261">
            <w:pPr>
              <w:shd w:val="clear" w:color="auto" w:fill="FFFFFF"/>
              <w:ind w:firstLine="600"/>
              <w:jc w:val="both"/>
              <w:textAlignment w:val="baseline"/>
              <w:rPr>
                <w:rFonts w:eastAsia="Calibri" w:cs="Times New Roman"/>
                <w:color w:val="000000"/>
                <w:szCs w:val="28"/>
                <w:lang w:val="uk-UA" w:eastAsia="ru-RU"/>
              </w:rPr>
            </w:pPr>
            <w:r w:rsidRPr="006D0261">
              <w:rPr>
                <w:rFonts w:eastAsia="Calibri" w:cs="Times New Roman"/>
                <w:color w:val="000000"/>
                <w:szCs w:val="28"/>
                <w:lang w:val="uk-UA" w:eastAsia="ru-RU"/>
              </w:rPr>
              <w:lastRenderedPageBreak/>
              <w:t xml:space="preserve">4.1. Направлення та зарахування до Центру для проходження курсу реабілітації дітей з інвалідністю та дітей віком до трьох років включно, які належать до групи ризику щодо отримання інвалідності, проводиться відповідно до Порядку здійснення реабілітаційних заходів дітям з інвалідністю та дітям до 3-х років (включно), які належать до групи ризику щодо отримання інвалідності, у Кременчуцькому міському Центрі </w:t>
            </w:r>
            <w:r w:rsidRPr="006D0261">
              <w:rPr>
                <w:rFonts w:eastAsia="Calibri" w:cs="Times New Roman"/>
                <w:color w:val="000000"/>
                <w:szCs w:val="28"/>
                <w:lang w:val="uk-UA" w:eastAsia="ru-RU"/>
              </w:rPr>
              <w:lastRenderedPageBreak/>
              <w:t>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області.</w:t>
            </w:r>
          </w:p>
          <w:p w:rsidR="006D0261" w:rsidRPr="006D0261" w:rsidRDefault="006D0261" w:rsidP="006D0261">
            <w:pPr>
              <w:shd w:val="clear" w:color="auto" w:fill="FFFFFF"/>
              <w:ind w:firstLine="600"/>
              <w:jc w:val="both"/>
              <w:textAlignment w:val="baseline"/>
              <w:rPr>
                <w:rFonts w:eastAsia="Calibri" w:cs="Times New Roman"/>
                <w:color w:val="000000"/>
                <w:szCs w:val="28"/>
                <w:lang w:val="uk-UA" w:eastAsia="ru-RU"/>
              </w:rPr>
            </w:pPr>
            <w:r w:rsidRPr="006D0261">
              <w:rPr>
                <w:rFonts w:eastAsia="Calibri" w:cs="Times New Roman"/>
                <w:color w:val="000000"/>
                <w:szCs w:val="28"/>
                <w:lang w:val="uk-UA" w:eastAsia="ru-RU"/>
              </w:rPr>
              <w:t xml:space="preserve">У виняткових випадках, з метою завершення виконання індивідуального плану реабілітації, можливе продовження строку перебування дитини з інвалідністю у Центрі після досягнення нею 18 років. </w:t>
            </w:r>
            <w:bookmarkStart w:id="3" w:name="n58"/>
            <w:bookmarkEnd w:id="3"/>
            <w:r w:rsidRPr="006D0261">
              <w:rPr>
                <w:rFonts w:eastAsia="Calibri" w:cs="Times New Roman"/>
                <w:color w:val="000000"/>
                <w:szCs w:val="28"/>
                <w:lang w:val="uk-UA" w:eastAsia="ru-RU"/>
              </w:rPr>
              <w:t>Рішення про продовження строку перебування дитини з інвалідністю приймається реабілітаційною комісією Центру.</w:t>
            </w:r>
          </w:p>
          <w:p w:rsidR="006D0261" w:rsidRPr="006D0261" w:rsidRDefault="006D0261" w:rsidP="006D0261">
            <w:pPr>
              <w:shd w:val="clear" w:color="auto" w:fill="FFFFFF"/>
              <w:ind w:firstLine="600"/>
              <w:jc w:val="both"/>
              <w:textAlignment w:val="baseline"/>
              <w:rPr>
                <w:rFonts w:eastAsia="Calibri" w:cs="Times New Roman"/>
                <w:color w:val="000000"/>
                <w:szCs w:val="28"/>
                <w:lang w:val="uk-UA" w:eastAsia="ru-RU"/>
              </w:rPr>
            </w:pPr>
            <w:r w:rsidRPr="006D0261">
              <w:rPr>
                <w:rFonts w:eastAsia="Calibri" w:cs="Times New Roman"/>
                <w:color w:val="000000"/>
                <w:szCs w:val="28"/>
                <w:lang w:val="uk-UA" w:eastAsia="ru-RU"/>
              </w:rPr>
              <w:t>4.2. Направлення дітей з інвалідністю віком до 3-х років включно та дітей цієї вікової категорії, які мають порушення розвитку, та надання їх родинам послуги раннього втручання здійснюється відповідно до Порядку надання послуги раннього втручання у Кременчуцькому міському Центрі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області.</w:t>
            </w:r>
          </w:p>
          <w:p w:rsidR="00E60303" w:rsidRPr="00D25300" w:rsidRDefault="00E60303" w:rsidP="00E60303">
            <w:pPr>
              <w:shd w:val="clear" w:color="auto" w:fill="FFFFFF"/>
              <w:ind w:firstLine="60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5300">
              <w:rPr>
                <w:rFonts w:eastAsia="Times New Roman" w:cs="Times New Roman"/>
                <w:b/>
                <w:color w:val="000000"/>
                <w:szCs w:val="28"/>
                <w:lang w:val="uk-UA" w:eastAsia="ru-RU"/>
              </w:rPr>
              <w:t>Змінено порядок нумерації пунктів розділу</w:t>
            </w:r>
          </w:p>
          <w:p w:rsidR="00612E6D" w:rsidRPr="00FB327A" w:rsidRDefault="00612E6D" w:rsidP="00C37373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D138B" w:rsidTr="00C36E74">
        <w:tc>
          <w:tcPr>
            <w:tcW w:w="9855" w:type="dxa"/>
            <w:gridSpan w:val="2"/>
          </w:tcPr>
          <w:p w:rsidR="00BD138B" w:rsidRPr="00A912B5" w:rsidRDefault="00A912B5" w:rsidP="00C37373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  <w:r w:rsidRPr="004F6233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5. Керівництво Центру</w:t>
            </w:r>
          </w:p>
        </w:tc>
      </w:tr>
      <w:tr w:rsidR="00A912B5" w:rsidRPr="008901D3" w:rsidTr="00390DB0">
        <w:tc>
          <w:tcPr>
            <w:tcW w:w="4927" w:type="dxa"/>
          </w:tcPr>
          <w:p w:rsidR="00F4557C" w:rsidRDefault="00F4557C" w:rsidP="00F4557C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>5.2.7. Здійснює контроль за реабілітаційним процесом.</w:t>
            </w:r>
          </w:p>
          <w:p w:rsidR="00F4557C" w:rsidRDefault="00F4557C" w:rsidP="00F4557C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F4557C" w:rsidRDefault="00F4557C" w:rsidP="00F4557C">
            <w:pPr>
              <w:jc w:val="both"/>
              <w:rPr>
                <w:b/>
                <w:szCs w:val="28"/>
                <w:lang w:val="uk-UA"/>
              </w:rPr>
            </w:pPr>
            <w:r w:rsidRPr="00C37373">
              <w:rPr>
                <w:b/>
                <w:szCs w:val="28"/>
                <w:lang w:val="uk-UA"/>
              </w:rPr>
              <w:t xml:space="preserve">пункт щодо </w:t>
            </w:r>
            <w:r>
              <w:rPr>
                <w:b/>
                <w:szCs w:val="28"/>
                <w:lang w:val="uk-UA"/>
              </w:rPr>
              <w:t>інших повноважень</w:t>
            </w:r>
            <w:r w:rsidRPr="00C37373">
              <w:rPr>
                <w:b/>
                <w:szCs w:val="28"/>
                <w:lang w:val="uk-UA"/>
              </w:rPr>
              <w:t xml:space="preserve"> відсутній</w:t>
            </w:r>
          </w:p>
          <w:p w:rsidR="00F4557C" w:rsidRDefault="00F4557C" w:rsidP="00F4557C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A912B5" w:rsidRPr="00FB327A" w:rsidRDefault="00A912B5" w:rsidP="00C37373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675C35" w:rsidRDefault="00675C35" w:rsidP="00675C35">
            <w:pPr>
              <w:shd w:val="clear" w:color="auto" w:fill="FFFFFF"/>
              <w:ind w:firstLine="600"/>
              <w:jc w:val="both"/>
              <w:textAlignment w:val="baseline"/>
              <w:rPr>
                <w:rFonts w:eastAsia="Calibri" w:cs="Times New Roman"/>
                <w:color w:val="000000"/>
                <w:szCs w:val="28"/>
                <w:lang w:val="uk-UA" w:eastAsia="ru-RU"/>
              </w:rPr>
            </w:pPr>
            <w:r w:rsidRPr="00C774C0">
              <w:rPr>
                <w:rFonts w:eastAsia="Calibri" w:cs="Times New Roman"/>
                <w:color w:val="000000"/>
                <w:szCs w:val="28"/>
                <w:lang w:val="uk-UA" w:eastAsia="ru-RU"/>
              </w:rPr>
              <w:t>5.2.7. Здійснює контроль за реабілітаційним процесом, наданням послуги раннього втручання.</w:t>
            </w:r>
          </w:p>
          <w:p w:rsidR="00A912B5" w:rsidRPr="00100B2E" w:rsidRDefault="00675C35" w:rsidP="00100B2E">
            <w:pPr>
              <w:shd w:val="clear" w:color="auto" w:fill="FFFFFF"/>
              <w:ind w:firstLine="600"/>
              <w:jc w:val="both"/>
              <w:textAlignment w:val="baseline"/>
              <w:rPr>
                <w:color w:val="000000"/>
                <w:szCs w:val="28"/>
                <w:lang w:val="uk-UA"/>
              </w:rPr>
            </w:pPr>
            <w:r w:rsidRPr="00A355A4">
              <w:rPr>
                <w:rFonts w:eastAsia="Calibri" w:cs="Times New Roman"/>
                <w:color w:val="000000"/>
                <w:szCs w:val="28"/>
                <w:lang w:val="uk-UA" w:eastAsia="ru-RU"/>
              </w:rPr>
              <w:t>5.2.15. Здійснює інші повноваження, передбачені законодавством.</w:t>
            </w:r>
          </w:p>
        </w:tc>
      </w:tr>
      <w:tr w:rsidR="00777051" w:rsidTr="00C36E74">
        <w:tc>
          <w:tcPr>
            <w:tcW w:w="9855" w:type="dxa"/>
            <w:gridSpan w:val="2"/>
          </w:tcPr>
          <w:p w:rsidR="00777051" w:rsidRDefault="00C37373" w:rsidP="00C37373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B327A">
              <w:rPr>
                <w:b/>
                <w:color w:val="000000"/>
                <w:sz w:val="28"/>
                <w:szCs w:val="28"/>
                <w:lang w:val="uk-UA"/>
              </w:rPr>
              <w:t>6. Фінансово-господарська діяльність</w:t>
            </w:r>
          </w:p>
        </w:tc>
      </w:tr>
      <w:tr w:rsidR="00777051" w:rsidRPr="008901D3" w:rsidTr="00584E43">
        <w:tc>
          <w:tcPr>
            <w:tcW w:w="4927" w:type="dxa"/>
          </w:tcPr>
          <w:p w:rsidR="00777051" w:rsidRDefault="00454AF1" w:rsidP="004623C0">
            <w:pPr>
              <w:jc w:val="both"/>
              <w:rPr>
                <w:b/>
                <w:szCs w:val="28"/>
                <w:lang w:val="uk-UA"/>
              </w:rPr>
            </w:pPr>
            <w:r w:rsidRPr="00C37373">
              <w:rPr>
                <w:b/>
                <w:szCs w:val="28"/>
                <w:lang w:val="uk-UA"/>
              </w:rPr>
              <w:t>пункт щодо джерел фінансування відсутній</w:t>
            </w: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Default="00592ECE" w:rsidP="004623C0">
            <w:pPr>
              <w:jc w:val="both"/>
              <w:rPr>
                <w:b/>
                <w:szCs w:val="28"/>
                <w:lang w:val="uk-UA"/>
              </w:rPr>
            </w:pPr>
          </w:p>
          <w:p w:rsidR="00592ECE" w:rsidRPr="00FB327A" w:rsidRDefault="00592ECE" w:rsidP="00592ECE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>6.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3. Центр має право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>фінансувати за рахунок власних коштів заходи, що сприяють поліпшенню соціально-побутових умов для дітей з інвалідністю та дітей групи ризику</w:t>
            </w:r>
            <w:r>
              <w:rPr>
                <w:color w:val="000000"/>
                <w:sz w:val="28"/>
                <w:szCs w:val="28"/>
                <w:lang w:val="uk-UA"/>
              </w:rPr>
              <w:t>; укладати договори про співробітництво.</w:t>
            </w:r>
          </w:p>
          <w:p w:rsidR="00592ECE" w:rsidRDefault="00592ECE" w:rsidP="004623C0">
            <w:pPr>
              <w:jc w:val="both"/>
              <w:rPr>
                <w:lang w:val="uk-UA"/>
              </w:rPr>
            </w:pPr>
            <w:bookmarkStart w:id="4" w:name="n123"/>
            <w:bookmarkStart w:id="5" w:name="n124"/>
            <w:bookmarkEnd w:id="4"/>
            <w:bookmarkEnd w:id="5"/>
          </w:p>
        </w:tc>
        <w:tc>
          <w:tcPr>
            <w:tcW w:w="4928" w:type="dxa"/>
          </w:tcPr>
          <w:p w:rsidR="00CC2963" w:rsidRPr="00A4600E" w:rsidRDefault="00CC2963" w:rsidP="00CC2963">
            <w:pPr>
              <w:pStyle w:val="a4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6.2</w:t>
            </w:r>
            <w:r w:rsidRPr="00A4600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 Джерела фінансування Центру:</w:t>
            </w:r>
          </w:p>
          <w:p w:rsidR="00CC2963" w:rsidRPr="00A4600E" w:rsidRDefault="00CC2963" w:rsidP="00CC2963">
            <w:pPr>
              <w:pStyle w:val="a4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4600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- кошти державного і місцевого </w:t>
            </w:r>
            <w:r w:rsidRPr="00A4600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бюджетів;</w:t>
            </w:r>
          </w:p>
          <w:p w:rsidR="00CC2963" w:rsidRPr="00A4600E" w:rsidRDefault="00CC2963" w:rsidP="00CC2963">
            <w:pPr>
              <w:pStyle w:val="a4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4600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 кошти спеціальних фондів;</w:t>
            </w:r>
          </w:p>
          <w:p w:rsidR="00CC2963" w:rsidRPr="00A4600E" w:rsidRDefault="00CC2963" w:rsidP="00CC2963">
            <w:pPr>
              <w:pStyle w:val="a4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4600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 кошти благодійної допомоги (пожертвувань) українських та іноземних фізичних і юридичних осіб (майно, кошти у національній та іноземній валюті);</w:t>
            </w:r>
          </w:p>
          <w:p w:rsidR="00CC2963" w:rsidRPr="00A4600E" w:rsidRDefault="00CC2963" w:rsidP="00CC2963">
            <w:pPr>
              <w:pStyle w:val="a4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4600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 інші джерела, не заборонені законодавством України.</w:t>
            </w:r>
          </w:p>
          <w:p w:rsidR="00CF710B" w:rsidRDefault="00CF710B" w:rsidP="00CF710B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FB327A">
              <w:rPr>
                <w:color w:val="000000"/>
                <w:sz w:val="28"/>
                <w:szCs w:val="28"/>
                <w:lang w:val="uk-UA"/>
              </w:rPr>
              <w:t>6.</w:t>
            </w:r>
            <w:r>
              <w:rPr>
                <w:color w:val="000000"/>
                <w:sz w:val="28"/>
                <w:szCs w:val="28"/>
                <w:lang w:val="uk-UA"/>
              </w:rPr>
              <w:t>3. Центр має право</w:t>
            </w:r>
            <w:bookmarkStart w:id="6" w:name="n122"/>
            <w:bookmarkEnd w:id="6"/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CF710B" w:rsidRDefault="00CF710B" w:rsidP="00CF710B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>фінансувати за рахунок власних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та/або благодійних</w:t>
            </w:r>
            <w:r w:rsidRPr="00FB327A">
              <w:rPr>
                <w:color w:val="000000"/>
                <w:sz w:val="28"/>
                <w:szCs w:val="28"/>
                <w:lang w:val="uk-UA"/>
              </w:rPr>
              <w:t xml:space="preserve"> коштів заходи, що сприяють поліпшенню соціально-побутових умов для дітей з інвалідністю та дітей групи ризику</w:t>
            </w:r>
            <w:r>
              <w:rPr>
                <w:color w:val="000000"/>
                <w:sz w:val="28"/>
                <w:szCs w:val="28"/>
                <w:lang w:val="uk-UA"/>
              </w:rPr>
              <w:t>, розважальні заходи тощо;</w:t>
            </w:r>
          </w:p>
          <w:p w:rsidR="00CF710B" w:rsidRDefault="00CF710B" w:rsidP="00CF710B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укладати договори про співпрацю, в</w:t>
            </w:r>
            <w:r w:rsidRPr="00CF3E99">
              <w:rPr>
                <w:color w:val="000000"/>
                <w:sz w:val="28"/>
                <w:szCs w:val="28"/>
                <w:lang w:val="uk-UA"/>
              </w:rPr>
              <w:t xml:space="preserve">становлювати безпосередні зв'язки із </w:t>
            </w:r>
            <w:r>
              <w:rPr>
                <w:color w:val="000000"/>
                <w:sz w:val="28"/>
                <w:szCs w:val="28"/>
                <w:lang w:val="uk-UA"/>
              </w:rPr>
              <w:t>закладами освіти</w:t>
            </w:r>
            <w:r w:rsidRPr="00CF3E99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охорони здоров’я, </w:t>
            </w:r>
            <w:r w:rsidRPr="00CF3E99">
              <w:rPr>
                <w:color w:val="000000"/>
                <w:sz w:val="28"/>
                <w:szCs w:val="28"/>
                <w:lang w:val="uk-UA"/>
              </w:rPr>
              <w:t>науковими установами, підприємствами, організаціями, фондами, товариствами, окремими громадянами на території України та за її межами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F710B" w:rsidRPr="00CF3E99" w:rsidRDefault="00CF710B" w:rsidP="00CF710B">
            <w:pPr>
              <w:pStyle w:val="rvps2"/>
              <w:shd w:val="clear" w:color="auto" w:fill="FFFFFF"/>
              <w:spacing w:before="0" w:beforeAutospacing="0" w:after="0" w:afterAutospacing="0"/>
              <w:ind w:firstLine="60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придбавати рухоме майно, необхідне для діяльності Центру, з дотриманням вимог законодавства.</w:t>
            </w:r>
          </w:p>
          <w:p w:rsidR="00777051" w:rsidRDefault="00777051" w:rsidP="004623C0">
            <w:pPr>
              <w:jc w:val="both"/>
              <w:rPr>
                <w:lang w:val="uk-UA"/>
              </w:rPr>
            </w:pPr>
          </w:p>
        </w:tc>
      </w:tr>
    </w:tbl>
    <w:p w:rsidR="004623C0" w:rsidRDefault="004623C0" w:rsidP="004623C0">
      <w:pPr>
        <w:jc w:val="both"/>
        <w:rPr>
          <w:b/>
          <w:lang w:val="uk-UA"/>
        </w:rPr>
      </w:pPr>
    </w:p>
    <w:p w:rsidR="0083094F" w:rsidRDefault="0083094F" w:rsidP="004623C0">
      <w:pPr>
        <w:jc w:val="both"/>
        <w:rPr>
          <w:b/>
          <w:lang w:val="uk-UA"/>
        </w:rPr>
      </w:pPr>
    </w:p>
    <w:p w:rsidR="0083094F" w:rsidRPr="004623C0" w:rsidRDefault="0083094F" w:rsidP="004623C0">
      <w:pPr>
        <w:jc w:val="both"/>
        <w:rPr>
          <w:b/>
          <w:lang w:val="uk-UA"/>
        </w:rPr>
      </w:pPr>
    </w:p>
    <w:p w:rsidR="004623C0" w:rsidRDefault="00BD6538" w:rsidP="004623C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Директор</w:t>
      </w:r>
      <w:r w:rsidR="00236CCA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Д</w:t>
      </w:r>
      <w:r w:rsidR="004623C0">
        <w:rPr>
          <w:b/>
          <w:color w:val="000000"/>
          <w:sz w:val="28"/>
          <w:szCs w:val="28"/>
          <w:lang w:val="uk-UA"/>
        </w:rPr>
        <w:t>епартаменту</w:t>
      </w:r>
    </w:p>
    <w:p w:rsidR="00BD6538" w:rsidRDefault="004623C0" w:rsidP="004623C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соціального захисту населення </w:t>
      </w:r>
    </w:p>
    <w:p w:rsidR="004623C0" w:rsidRDefault="004623C0" w:rsidP="004623C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Кременчуцької </w:t>
      </w:r>
      <w:r w:rsidRPr="00FB327A">
        <w:rPr>
          <w:b/>
          <w:color w:val="000000"/>
          <w:sz w:val="28"/>
          <w:szCs w:val="28"/>
          <w:lang w:val="uk-UA"/>
        </w:rPr>
        <w:t>міської ради</w:t>
      </w:r>
    </w:p>
    <w:p w:rsidR="00BD6538" w:rsidRDefault="00BD6538" w:rsidP="004623C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Кременчуцького району</w:t>
      </w:r>
    </w:p>
    <w:p w:rsidR="004623C0" w:rsidRPr="00FB327A" w:rsidRDefault="006D02B7" w:rsidP="004623C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Полтавської області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Марина </w:t>
      </w:r>
      <w:proofErr w:type="spellStart"/>
      <w:r>
        <w:rPr>
          <w:b/>
          <w:color w:val="000000"/>
          <w:sz w:val="28"/>
          <w:szCs w:val="28"/>
          <w:lang w:val="uk-UA"/>
        </w:rPr>
        <w:t>ДОЦЕНКО</w:t>
      </w:r>
      <w:proofErr w:type="spellEnd"/>
    </w:p>
    <w:sectPr w:rsidR="004623C0" w:rsidRPr="00FB327A" w:rsidSect="00751ED4">
      <w:pgSz w:w="11907" w:h="16840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E0DA1"/>
    <w:multiLevelType w:val="multilevel"/>
    <w:tmpl w:val="F6664C7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5CAD1089"/>
    <w:multiLevelType w:val="multilevel"/>
    <w:tmpl w:val="FCD082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7373"/>
    <w:rsid w:val="000C43D4"/>
    <w:rsid w:val="000F226C"/>
    <w:rsid w:val="000F4335"/>
    <w:rsid w:val="00100B2E"/>
    <w:rsid w:val="0011750D"/>
    <w:rsid w:val="00127DDD"/>
    <w:rsid w:val="00197AF8"/>
    <w:rsid w:val="001A7596"/>
    <w:rsid w:val="001C37FB"/>
    <w:rsid w:val="00213EAC"/>
    <w:rsid w:val="0022388E"/>
    <w:rsid w:val="00236CCA"/>
    <w:rsid w:val="00263FAA"/>
    <w:rsid w:val="00265768"/>
    <w:rsid w:val="00294EB1"/>
    <w:rsid w:val="0029627F"/>
    <w:rsid w:val="002E56B1"/>
    <w:rsid w:val="00317373"/>
    <w:rsid w:val="00374B71"/>
    <w:rsid w:val="0039636A"/>
    <w:rsid w:val="003D1F06"/>
    <w:rsid w:val="003E5934"/>
    <w:rsid w:val="00405E51"/>
    <w:rsid w:val="00407551"/>
    <w:rsid w:val="00452BBF"/>
    <w:rsid w:val="00454AF1"/>
    <w:rsid w:val="004623C0"/>
    <w:rsid w:val="00487D47"/>
    <w:rsid w:val="004F6233"/>
    <w:rsid w:val="00534618"/>
    <w:rsid w:val="00584E43"/>
    <w:rsid w:val="00592ECE"/>
    <w:rsid w:val="00593A1F"/>
    <w:rsid w:val="005B61A4"/>
    <w:rsid w:val="005C4A74"/>
    <w:rsid w:val="00612E6D"/>
    <w:rsid w:val="006362F1"/>
    <w:rsid w:val="006520A9"/>
    <w:rsid w:val="00662693"/>
    <w:rsid w:val="00674C05"/>
    <w:rsid w:val="00675C35"/>
    <w:rsid w:val="006D0261"/>
    <w:rsid w:val="006D02B7"/>
    <w:rsid w:val="0073249F"/>
    <w:rsid w:val="00734392"/>
    <w:rsid w:val="00751ED4"/>
    <w:rsid w:val="00777051"/>
    <w:rsid w:val="00784BA6"/>
    <w:rsid w:val="007E5EED"/>
    <w:rsid w:val="00817D26"/>
    <w:rsid w:val="0083094F"/>
    <w:rsid w:val="008561C6"/>
    <w:rsid w:val="00874EF7"/>
    <w:rsid w:val="008901D3"/>
    <w:rsid w:val="008A1279"/>
    <w:rsid w:val="008C00A4"/>
    <w:rsid w:val="00921C44"/>
    <w:rsid w:val="00921E08"/>
    <w:rsid w:val="00932DDD"/>
    <w:rsid w:val="009F2855"/>
    <w:rsid w:val="00A136B7"/>
    <w:rsid w:val="00A355A4"/>
    <w:rsid w:val="00A47431"/>
    <w:rsid w:val="00A912B5"/>
    <w:rsid w:val="00AE0FFE"/>
    <w:rsid w:val="00B36D05"/>
    <w:rsid w:val="00B5364D"/>
    <w:rsid w:val="00BA7431"/>
    <w:rsid w:val="00BD138B"/>
    <w:rsid w:val="00BD6538"/>
    <w:rsid w:val="00BE0F7C"/>
    <w:rsid w:val="00BE66A5"/>
    <w:rsid w:val="00BF040D"/>
    <w:rsid w:val="00C0478B"/>
    <w:rsid w:val="00C063D6"/>
    <w:rsid w:val="00C238C5"/>
    <w:rsid w:val="00C37373"/>
    <w:rsid w:val="00C74657"/>
    <w:rsid w:val="00C76CFC"/>
    <w:rsid w:val="00C774C0"/>
    <w:rsid w:val="00CC01E7"/>
    <w:rsid w:val="00CC2963"/>
    <w:rsid w:val="00CF1D6E"/>
    <w:rsid w:val="00CF710B"/>
    <w:rsid w:val="00D06F97"/>
    <w:rsid w:val="00D25300"/>
    <w:rsid w:val="00D52FC9"/>
    <w:rsid w:val="00D777A0"/>
    <w:rsid w:val="00D9530F"/>
    <w:rsid w:val="00DC5262"/>
    <w:rsid w:val="00E60303"/>
    <w:rsid w:val="00E664EB"/>
    <w:rsid w:val="00EC1F8A"/>
    <w:rsid w:val="00ED5729"/>
    <w:rsid w:val="00EF4807"/>
    <w:rsid w:val="00F4557C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5E845-E2E0-4085-9A79-B763C261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623C0"/>
    <w:pPr>
      <w:spacing w:before="100" w:beforeAutospacing="1" w:after="100" w:afterAutospacing="1"/>
    </w:pPr>
    <w:rPr>
      <w:rFonts w:eastAsia="Calibri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8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750D"/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5931</Words>
  <Characters>3382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YULIA</cp:lastModifiedBy>
  <cp:revision>62</cp:revision>
  <dcterms:created xsi:type="dcterms:W3CDTF">2020-11-11T10:55:00Z</dcterms:created>
  <dcterms:modified xsi:type="dcterms:W3CDTF">2025-04-17T10:55:00Z</dcterms:modified>
</cp:coreProperties>
</file>