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B2" w:rsidRDefault="006677B2" w:rsidP="006677B2">
      <w:pPr>
        <w:ind w:firstLine="6521"/>
        <w:rPr>
          <w:b/>
          <w:sz w:val="28"/>
          <w:szCs w:val="28"/>
          <w:lang w:val="uk-UA"/>
        </w:rPr>
      </w:pPr>
      <w:r>
        <w:rPr>
          <w:b/>
          <w:sz w:val="28"/>
          <w:szCs w:val="28"/>
          <w:lang w:val="uk-UA"/>
        </w:rPr>
        <w:t xml:space="preserve">Додаток </w:t>
      </w:r>
    </w:p>
    <w:p w:rsidR="006677B2" w:rsidRDefault="006677B2" w:rsidP="006677B2">
      <w:pPr>
        <w:ind w:firstLine="6521"/>
        <w:rPr>
          <w:b/>
          <w:sz w:val="28"/>
          <w:szCs w:val="28"/>
          <w:lang w:val="uk-UA"/>
        </w:rPr>
      </w:pPr>
      <w:r>
        <w:rPr>
          <w:b/>
          <w:sz w:val="28"/>
          <w:szCs w:val="28"/>
          <w:lang w:val="uk-UA"/>
        </w:rPr>
        <w:t xml:space="preserve">до рішення міської ради </w:t>
      </w:r>
    </w:p>
    <w:p w:rsidR="006677B2" w:rsidRDefault="006677B2" w:rsidP="006677B2">
      <w:pPr>
        <w:ind w:firstLine="6521"/>
        <w:rPr>
          <w:b/>
          <w:sz w:val="28"/>
          <w:szCs w:val="28"/>
          <w:lang w:val="uk-UA"/>
        </w:rPr>
      </w:pPr>
      <w:r>
        <w:rPr>
          <w:b/>
          <w:sz w:val="28"/>
          <w:szCs w:val="28"/>
          <w:lang w:val="uk-UA"/>
        </w:rPr>
        <w:t xml:space="preserve">від </w:t>
      </w:r>
    </w:p>
    <w:p w:rsidR="006677B2" w:rsidRDefault="006677B2" w:rsidP="006677B2">
      <w:pPr>
        <w:jc w:val="center"/>
        <w:rPr>
          <w:b/>
          <w:sz w:val="28"/>
          <w:szCs w:val="28"/>
          <w:lang w:val="uk-UA"/>
        </w:rPr>
      </w:pPr>
    </w:p>
    <w:p w:rsidR="006677B2" w:rsidRDefault="006677B2" w:rsidP="006677B2">
      <w:pPr>
        <w:jc w:val="center"/>
        <w:rPr>
          <w:b/>
          <w:sz w:val="28"/>
          <w:szCs w:val="28"/>
          <w:lang w:val="uk-UA"/>
        </w:rPr>
      </w:pPr>
      <w:r>
        <w:rPr>
          <w:b/>
          <w:sz w:val="28"/>
          <w:szCs w:val="28"/>
          <w:lang w:val="uk-UA"/>
        </w:rPr>
        <w:t>ПОЯСНЮВАЛЬНА ЗАПИСКА</w:t>
      </w:r>
    </w:p>
    <w:p w:rsidR="006677B2" w:rsidRDefault="006677B2" w:rsidP="006677B2">
      <w:pPr>
        <w:jc w:val="center"/>
        <w:rPr>
          <w:b/>
          <w:sz w:val="28"/>
          <w:szCs w:val="28"/>
          <w:lang w:val="uk-UA"/>
        </w:rPr>
      </w:pPr>
      <w:r>
        <w:rPr>
          <w:b/>
          <w:sz w:val="28"/>
          <w:szCs w:val="28"/>
          <w:lang w:val="uk-UA"/>
        </w:rPr>
        <w:t xml:space="preserve">про виконання міського  бюджету м. Кременчука  </w:t>
      </w:r>
    </w:p>
    <w:p w:rsidR="006677B2" w:rsidRDefault="006677B2" w:rsidP="006677B2">
      <w:pPr>
        <w:jc w:val="center"/>
        <w:rPr>
          <w:b/>
          <w:sz w:val="28"/>
          <w:szCs w:val="28"/>
          <w:lang w:val="uk-UA"/>
        </w:rPr>
      </w:pPr>
      <w:r>
        <w:rPr>
          <w:b/>
          <w:sz w:val="28"/>
          <w:szCs w:val="28"/>
          <w:lang w:val="uk-UA"/>
        </w:rPr>
        <w:t>за 9 місяців   2017  року</w:t>
      </w:r>
    </w:p>
    <w:p w:rsidR="006677B2" w:rsidRDefault="006677B2" w:rsidP="006677B2">
      <w:pPr>
        <w:jc w:val="center"/>
        <w:rPr>
          <w:b/>
          <w:sz w:val="28"/>
          <w:szCs w:val="28"/>
          <w:lang w:val="uk-UA"/>
        </w:rPr>
      </w:pPr>
    </w:p>
    <w:p w:rsidR="006677B2" w:rsidRDefault="006677B2" w:rsidP="006677B2">
      <w:pPr>
        <w:ind w:firstLine="709"/>
        <w:rPr>
          <w:b/>
          <w:bCs/>
          <w:sz w:val="28"/>
          <w:szCs w:val="28"/>
          <w:lang w:val="uk-UA"/>
        </w:rPr>
      </w:pPr>
      <w:r>
        <w:rPr>
          <w:b/>
          <w:sz w:val="28"/>
          <w:szCs w:val="28"/>
          <w:lang w:val="uk-UA"/>
        </w:rPr>
        <w:t xml:space="preserve">                                           ДОХОДИ</w:t>
      </w:r>
    </w:p>
    <w:p w:rsidR="006677B2" w:rsidRDefault="006677B2" w:rsidP="006677B2">
      <w:pPr>
        <w:rPr>
          <w:b/>
          <w:bCs/>
          <w:sz w:val="28"/>
          <w:szCs w:val="28"/>
          <w:lang w:val="uk-UA"/>
        </w:rPr>
      </w:pPr>
      <w:r>
        <w:rPr>
          <w:b/>
          <w:bCs/>
          <w:sz w:val="28"/>
          <w:szCs w:val="28"/>
          <w:lang w:val="uk-UA"/>
        </w:rPr>
        <w:t xml:space="preserve">                                                 Загальний фонд</w:t>
      </w:r>
    </w:p>
    <w:p w:rsidR="006677B2" w:rsidRDefault="006677B2" w:rsidP="006677B2">
      <w:pPr>
        <w:rPr>
          <w:sz w:val="28"/>
          <w:szCs w:val="28"/>
          <w:lang w:val="uk-UA"/>
        </w:rPr>
      </w:pPr>
    </w:p>
    <w:p w:rsidR="006677B2" w:rsidRDefault="006677B2" w:rsidP="006677B2">
      <w:pPr>
        <w:ind w:firstLine="709"/>
        <w:jc w:val="both"/>
        <w:rPr>
          <w:sz w:val="28"/>
          <w:szCs w:val="28"/>
          <w:lang w:val="uk-UA"/>
        </w:rPr>
      </w:pPr>
      <w:r>
        <w:rPr>
          <w:sz w:val="28"/>
          <w:szCs w:val="28"/>
          <w:lang w:val="uk-UA"/>
        </w:rPr>
        <w:t xml:space="preserve">Відповідно до звіту, поданого Управлінням Державної казначейської служби  України у м. </w:t>
      </w:r>
      <w:proofErr w:type="spellStart"/>
      <w:r>
        <w:rPr>
          <w:sz w:val="28"/>
          <w:szCs w:val="28"/>
          <w:lang w:val="uk-UA"/>
        </w:rPr>
        <w:t>Кременчуці</w:t>
      </w:r>
      <w:proofErr w:type="spellEnd"/>
      <w:r>
        <w:rPr>
          <w:sz w:val="28"/>
          <w:szCs w:val="28"/>
          <w:lang w:val="uk-UA"/>
        </w:rPr>
        <w:t xml:space="preserve"> Полтавської області, станом на 01.10.2017  до  міського бюджету міста  Кременчука  при затвердженому уточненому  річному  плані   2 183 834,288 тис. грн. надійшло доходів всього 1 604 693,523  тис. грн. або  73,5 % до річного плану. На звітну дату виконання плану забезпечено на 96,3%  (план 1 666 378,272 тис. грн.). </w:t>
      </w:r>
    </w:p>
    <w:p w:rsidR="006677B2" w:rsidRDefault="006677B2" w:rsidP="006677B2">
      <w:pPr>
        <w:ind w:firstLine="709"/>
        <w:jc w:val="right"/>
        <w:rPr>
          <w:sz w:val="28"/>
          <w:szCs w:val="28"/>
          <w:lang w:val="uk-UA"/>
        </w:rPr>
      </w:pPr>
      <w:r>
        <w:rPr>
          <w:sz w:val="28"/>
          <w:szCs w:val="28"/>
          <w:lang w:val="uk-UA"/>
        </w:rPr>
        <w:t>тис. грн.</w:t>
      </w:r>
    </w:p>
    <w:p w:rsidR="006677B2" w:rsidRDefault="006677B2" w:rsidP="006677B2">
      <w:pPr>
        <w:ind w:firstLine="709"/>
        <w:jc w:val="right"/>
        <w:rPr>
          <w:color w:val="FF0000"/>
          <w:sz w:val="28"/>
          <w:szCs w:val="28"/>
          <w:lang w:val="uk-UA"/>
        </w:rPr>
      </w:pPr>
    </w:p>
    <w:p w:rsidR="006677B2" w:rsidRDefault="006677B2" w:rsidP="006677B2">
      <w:pPr>
        <w:pBdr>
          <w:top w:val="single" w:sz="4" w:space="1" w:color="auto"/>
          <w:left w:val="single" w:sz="4" w:space="4" w:color="auto"/>
          <w:bottom w:val="single" w:sz="4" w:space="0" w:color="auto"/>
          <w:right w:val="single" w:sz="4" w:space="4" w:color="auto"/>
        </w:pBdr>
        <w:jc w:val="both"/>
        <w:rPr>
          <w:color w:val="FF0000"/>
          <w:sz w:val="28"/>
          <w:szCs w:val="28"/>
          <w:lang w:val="uk-UA"/>
        </w:rPr>
      </w:pPr>
      <w:r>
        <w:rPr>
          <w:b/>
          <w:bCs/>
          <w:i/>
          <w:iCs/>
          <w:noProof/>
          <w:color w:val="FF0000"/>
          <w:sz w:val="28"/>
          <w:szCs w:val="28"/>
        </w:rPr>
        <w:drawing>
          <wp:inline distT="0" distB="0" distL="0" distR="0">
            <wp:extent cx="5962650" cy="427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4276725"/>
                    </a:xfrm>
                    <a:prstGeom prst="rect">
                      <a:avLst/>
                    </a:prstGeom>
                    <a:noFill/>
                    <a:ln>
                      <a:noFill/>
                    </a:ln>
                  </pic:spPr>
                </pic:pic>
              </a:graphicData>
            </a:graphic>
          </wp:inline>
        </w:drawing>
      </w:r>
    </w:p>
    <w:p w:rsidR="006677B2" w:rsidRDefault="006677B2" w:rsidP="006677B2">
      <w:pPr>
        <w:ind w:firstLine="709"/>
        <w:jc w:val="both"/>
        <w:rPr>
          <w:sz w:val="28"/>
          <w:szCs w:val="28"/>
          <w:lang w:val="uk-UA"/>
        </w:rPr>
      </w:pPr>
      <w:r>
        <w:rPr>
          <w:sz w:val="28"/>
          <w:szCs w:val="28"/>
          <w:lang w:val="uk-UA"/>
        </w:rPr>
        <w:t xml:space="preserve">При уточненому  річному   плані   по   загальному фонду   без офіційних   трансфертів 1 067 842,534 тис. грн. фактично надійшло –  770 026,641 тис. грн.,  виконання до річного плану склало  – 72,1%, виконання на звітну дату – 99,4%  /-/ 4 852,357  тис. грн. (план  774 878,998  тис. грн.). </w:t>
      </w:r>
    </w:p>
    <w:p w:rsidR="006677B2" w:rsidRDefault="006677B2" w:rsidP="006677B2">
      <w:pPr>
        <w:ind w:firstLine="709"/>
        <w:jc w:val="both"/>
        <w:rPr>
          <w:sz w:val="28"/>
          <w:szCs w:val="28"/>
          <w:lang w:val="uk-UA"/>
        </w:rPr>
      </w:pPr>
      <w:r>
        <w:rPr>
          <w:sz w:val="28"/>
          <w:szCs w:val="28"/>
          <w:lang w:val="uk-UA"/>
        </w:rPr>
        <w:t>По офіційних трансфертах при річному плані 1 115 991,754  тис. грн. фактично надійшло 834 666,882 тис. грн. або 74,8%, виконання на звітну дату забезпечено на 93,6% /-/ 56 832,392 тис. грн. (план  891 499,274 тис. грн.).</w:t>
      </w:r>
    </w:p>
    <w:p w:rsidR="006677B2" w:rsidRDefault="006677B2" w:rsidP="006677B2">
      <w:pPr>
        <w:tabs>
          <w:tab w:val="left" w:pos="2895"/>
          <w:tab w:val="left" w:pos="5655"/>
          <w:tab w:val="left" w:pos="8460"/>
        </w:tabs>
        <w:ind w:firstLine="709"/>
        <w:jc w:val="both"/>
        <w:rPr>
          <w:sz w:val="28"/>
          <w:szCs w:val="28"/>
          <w:lang w:val="uk-UA"/>
        </w:rPr>
      </w:pPr>
      <w:r>
        <w:rPr>
          <w:sz w:val="28"/>
          <w:szCs w:val="28"/>
          <w:lang w:val="uk-UA"/>
        </w:rPr>
        <w:lastRenderedPageBreak/>
        <w:t xml:space="preserve">В квітні та липні місяцях 2017 року рішенням міської ради за підсумками виконання міського бюджету за  І квартал та І півріччя  </w:t>
      </w:r>
      <w:proofErr w:type="spellStart"/>
      <w:r>
        <w:rPr>
          <w:sz w:val="28"/>
          <w:szCs w:val="28"/>
          <w:lang w:val="uk-UA"/>
        </w:rPr>
        <w:t>п.р</w:t>
      </w:r>
      <w:proofErr w:type="spellEnd"/>
      <w:r>
        <w:rPr>
          <w:sz w:val="28"/>
          <w:szCs w:val="28"/>
          <w:lang w:val="uk-UA"/>
        </w:rPr>
        <w:t>. були  внесені зміни до показників міського бюджету на 2017 рік та збільшено доходну частину загального фонду бюджету на суму</w:t>
      </w:r>
      <w:r>
        <w:rPr>
          <w:b/>
          <w:sz w:val="28"/>
          <w:szCs w:val="28"/>
          <w:lang w:val="uk-UA"/>
        </w:rPr>
        <w:t xml:space="preserve"> </w:t>
      </w:r>
      <w:r>
        <w:rPr>
          <w:sz w:val="28"/>
          <w:szCs w:val="28"/>
          <w:lang w:val="uk-UA"/>
        </w:rPr>
        <w:t>18 218,899 тис. грн. та 134 651,633 тис. грн. відповідно, всього сума збільшення  склала</w:t>
      </w:r>
      <w:r>
        <w:rPr>
          <w:b/>
          <w:sz w:val="28"/>
          <w:szCs w:val="28"/>
          <w:lang w:val="uk-UA"/>
        </w:rPr>
        <w:t xml:space="preserve"> </w:t>
      </w:r>
      <w:r>
        <w:rPr>
          <w:sz w:val="28"/>
          <w:szCs w:val="28"/>
          <w:lang w:val="uk-UA"/>
        </w:rPr>
        <w:t>152 870,532 тис. грн.</w:t>
      </w:r>
    </w:p>
    <w:p w:rsidR="006677B2" w:rsidRDefault="006677B2" w:rsidP="006677B2">
      <w:pPr>
        <w:ind w:firstLine="709"/>
        <w:jc w:val="both"/>
        <w:rPr>
          <w:color w:val="FF0000"/>
          <w:sz w:val="28"/>
          <w:szCs w:val="28"/>
          <w:lang w:val="uk-UA"/>
        </w:rPr>
      </w:pPr>
    </w:p>
    <w:p w:rsidR="006677B2" w:rsidRDefault="006677B2" w:rsidP="006677B2">
      <w:pPr>
        <w:tabs>
          <w:tab w:val="left" w:pos="2895"/>
          <w:tab w:val="left" w:pos="5655"/>
          <w:tab w:val="left" w:pos="8460"/>
        </w:tabs>
        <w:ind w:firstLine="709"/>
        <w:jc w:val="both"/>
        <w:rPr>
          <w:sz w:val="28"/>
          <w:szCs w:val="28"/>
          <w:lang w:val="uk-UA"/>
        </w:rPr>
      </w:pPr>
      <w:r>
        <w:rPr>
          <w:sz w:val="28"/>
          <w:szCs w:val="28"/>
          <w:lang w:val="uk-UA"/>
        </w:rPr>
        <w:t>Станом на 01.10.2017 фактично вилучено  коштів до державного бюджету (реверсна дотація) 31 244,500  тис. грн.  при  такому ж плані.</w:t>
      </w:r>
    </w:p>
    <w:p w:rsidR="006677B2" w:rsidRDefault="006677B2" w:rsidP="006677B2">
      <w:pPr>
        <w:tabs>
          <w:tab w:val="left" w:pos="2895"/>
          <w:tab w:val="left" w:pos="5655"/>
          <w:tab w:val="left" w:pos="8460"/>
        </w:tabs>
        <w:ind w:firstLine="709"/>
        <w:jc w:val="both"/>
        <w:rPr>
          <w:sz w:val="28"/>
          <w:szCs w:val="28"/>
          <w:lang w:val="uk-UA"/>
        </w:rPr>
      </w:pPr>
    </w:p>
    <w:p w:rsidR="006677B2" w:rsidRDefault="006677B2" w:rsidP="006677B2">
      <w:pPr>
        <w:ind w:firstLine="708"/>
        <w:jc w:val="both"/>
        <w:rPr>
          <w:sz w:val="28"/>
          <w:szCs w:val="28"/>
          <w:lang w:val="uk-UA"/>
        </w:rPr>
      </w:pPr>
      <w:r>
        <w:rPr>
          <w:sz w:val="28"/>
          <w:szCs w:val="28"/>
          <w:lang w:val="uk-UA"/>
        </w:rPr>
        <w:t>Виконання запланованих показників в розрізі податкових та неподаткових надходжень склало:</w:t>
      </w:r>
    </w:p>
    <w:p w:rsidR="006677B2" w:rsidRDefault="006677B2" w:rsidP="006677B2">
      <w:pPr>
        <w:ind w:left="1416" w:firstLine="708"/>
        <w:rPr>
          <w:sz w:val="28"/>
          <w:szCs w:val="28"/>
          <w:lang w:val="uk-UA"/>
        </w:rPr>
      </w:pPr>
      <w:r>
        <w:rPr>
          <w:sz w:val="28"/>
          <w:szCs w:val="28"/>
          <w:lang w:val="uk-UA"/>
        </w:rPr>
        <w:t xml:space="preserve">                              річний                          звітний період</w:t>
      </w:r>
    </w:p>
    <w:p w:rsidR="006677B2" w:rsidRDefault="006677B2" w:rsidP="006677B2">
      <w:pPr>
        <w:tabs>
          <w:tab w:val="left" w:pos="7230"/>
          <w:tab w:val="left" w:pos="7513"/>
        </w:tabs>
        <w:rPr>
          <w:sz w:val="28"/>
          <w:szCs w:val="28"/>
          <w:lang w:val="uk-UA"/>
        </w:rPr>
      </w:pPr>
      <w:r>
        <w:rPr>
          <w:sz w:val="28"/>
          <w:szCs w:val="28"/>
          <w:lang w:val="uk-UA"/>
        </w:rPr>
        <w:t>- податкові надходження       -           71,9 %                                 99,2 %</w:t>
      </w:r>
    </w:p>
    <w:p w:rsidR="006677B2" w:rsidRDefault="006677B2" w:rsidP="006677B2">
      <w:pPr>
        <w:rPr>
          <w:sz w:val="28"/>
          <w:szCs w:val="28"/>
          <w:lang w:val="uk-UA"/>
        </w:rPr>
      </w:pPr>
      <w:r>
        <w:rPr>
          <w:sz w:val="28"/>
          <w:szCs w:val="28"/>
          <w:lang w:val="uk-UA"/>
        </w:rPr>
        <w:t>- неподаткові надходження   -           78,7 %</w:t>
      </w:r>
      <w:r>
        <w:rPr>
          <w:sz w:val="28"/>
          <w:szCs w:val="28"/>
          <w:lang w:val="uk-UA"/>
        </w:rPr>
        <w:tab/>
        <w:t xml:space="preserve">                        106,2 %</w:t>
      </w:r>
    </w:p>
    <w:p w:rsidR="006677B2" w:rsidRDefault="006677B2" w:rsidP="006677B2">
      <w:pPr>
        <w:rPr>
          <w:color w:val="FF0000"/>
          <w:sz w:val="28"/>
          <w:szCs w:val="28"/>
          <w:lang w:val="uk-UA"/>
        </w:rPr>
      </w:pPr>
    </w:p>
    <w:p w:rsidR="006677B2" w:rsidRDefault="006677B2" w:rsidP="006677B2">
      <w:pPr>
        <w:ind w:firstLine="709"/>
        <w:jc w:val="both"/>
        <w:rPr>
          <w:sz w:val="28"/>
          <w:szCs w:val="28"/>
          <w:lang w:val="uk-UA"/>
        </w:rPr>
      </w:pPr>
      <w:r>
        <w:rPr>
          <w:sz w:val="28"/>
          <w:szCs w:val="28"/>
          <w:lang w:val="uk-UA"/>
        </w:rPr>
        <w:t>Питома вага фактичних податкових надходжень в доходній частині міського бюджету  склала 97,0% або 746 571,898 тис. грн., неподаткових надходжень –  3,0% або 23 454,744 тис. грн.</w:t>
      </w:r>
    </w:p>
    <w:p w:rsidR="006677B2" w:rsidRDefault="006677B2" w:rsidP="006677B2">
      <w:pPr>
        <w:tabs>
          <w:tab w:val="left" w:pos="2895"/>
          <w:tab w:val="left" w:pos="5655"/>
          <w:tab w:val="left" w:pos="8460"/>
        </w:tabs>
        <w:ind w:firstLine="709"/>
        <w:jc w:val="both"/>
        <w:rPr>
          <w:color w:val="FF0000"/>
          <w:sz w:val="28"/>
          <w:szCs w:val="28"/>
          <w:lang w:val="uk-UA"/>
        </w:rPr>
      </w:pPr>
    </w:p>
    <w:p w:rsidR="006677B2" w:rsidRDefault="006677B2" w:rsidP="006677B2">
      <w:pPr>
        <w:tabs>
          <w:tab w:val="left" w:pos="2895"/>
          <w:tab w:val="left" w:pos="5655"/>
          <w:tab w:val="left" w:pos="8460"/>
        </w:tabs>
        <w:ind w:firstLine="709"/>
        <w:jc w:val="both"/>
        <w:rPr>
          <w:sz w:val="28"/>
          <w:szCs w:val="28"/>
          <w:lang w:val="uk-UA"/>
        </w:rPr>
      </w:pPr>
      <w:r>
        <w:rPr>
          <w:sz w:val="28"/>
          <w:szCs w:val="28"/>
          <w:lang w:val="uk-UA"/>
        </w:rPr>
        <w:t xml:space="preserve">Основними джерелами надходжень, що формують доходну частину  загального фонду міського бюджету, є чотири податки, які  складають </w:t>
      </w:r>
      <w:r>
        <w:rPr>
          <w:sz w:val="28"/>
          <w:szCs w:val="28"/>
        </w:rPr>
        <w:t>96,1</w:t>
      </w:r>
      <w:r>
        <w:rPr>
          <w:sz w:val="28"/>
          <w:szCs w:val="28"/>
          <w:lang w:val="uk-UA"/>
        </w:rPr>
        <w:t>% в доходній частині загального фонду (770 026,641 тис. грн.):</w:t>
      </w:r>
    </w:p>
    <w:p w:rsidR="006677B2" w:rsidRDefault="006677B2" w:rsidP="006677B2">
      <w:pPr>
        <w:rPr>
          <w:sz w:val="24"/>
          <w:szCs w:val="24"/>
          <w:lang w:val="uk-UA"/>
        </w:rPr>
      </w:pPr>
      <w:r>
        <w:rPr>
          <w:sz w:val="28"/>
          <w:szCs w:val="28"/>
          <w:lang w:val="uk-UA"/>
        </w:rPr>
        <w:tab/>
        <w:t xml:space="preserve">                                                                                         </w:t>
      </w:r>
      <w:r>
        <w:rPr>
          <w:sz w:val="24"/>
          <w:szCs w:val="24"/>
          <w:lang w:val="uk-UA"/>
        </w:rPr>
        <w:t xml:space="preserve">тис. грн.               питома </w:t>
      </w:r>
    </w:p>
    <w:p w:rsidR="006677B2" w:rsidRDefault="006677B2" w:rsidP="006677B2">
      <w:pPr>
        <w:rPr>
          <w:sz w:val="24"/>
          <w:szCs w:val="24"/>
          <w:lang w:val="uk-UA"/>
        </w:rPr>
      </w:pPr>
      <w:r>
        <w:rPr>
          <w:sz w:val="24"/>
          <w:szCs w:val="24"/>
          <w:lang w:val="uk-UA"/>
        </w:rPr>
        <w:t xml:space="preserve">                                                                                                                                                 вага, %</w:t>
      </w:r>
    </w:p>
    <w:p w:rsidR="006677B2" w:rsidRDefault="006677B2" w:rsidP="006677B2">
      <w:pPr>
        <w:tabs>
          <w:tab w:val="left" w:pos="0"/>
          <w:tab w:val="left" w:pos="5040"/>
          <w:tab w:val="left" w:pos="6840"/>
          <w:tab w:val="left" w:pos="7020"/>
          <w:tab w:val="left" w:pos="7371"/>
          <w:tab w:val="left" w:pos="8931"/>
          <w:tab w:val="left" w:pos="9214"/>
        </w:tabs>
        <w:rPr>
          <w:sz w:val="28"/>
          <w:szCs w:val="28"/>
          <w:lang w:val="uk-UA"/>
        </w:rPr>
      </w:pPr>
      <w:r>
        <w:rPr>
          <w:sz w:val="28"/>
          <w:szCs w:val="28"/>
          <w:lang w:val="uk-UA"/>
        </w:rPr>
        <w:t xml:space="preserve">- податок та збір на доходи фізичних осіб (11010000)    </w:t>
      </w:r>
      <w:r>
        <w:rPr>
          <w:sz w:val="28"/>
          <w:szCs w:val="28"/>
        </w:rPr>
        <w:t>487 361,741</w:t>
      </w:r>
      <w:r>
        <w:rPr>
          <w:sz w:val="28"/>
          <w:szCs w:val="28"/>
          <w:lang w:val="uk-UA"/>
        </w:rPr>
        <w:t xml:space="preserve">           63,3</w:t>
      </w:r>
    </w:p>
    <w:p w:rsidR="006677B2" w:rsidRDefault="006677B2" w:rsidP="006677B2">
      <w:pPr>
        <w:tabs>
          <w:tab w:val="left" w:pos="0"/>
          <w:tab w:val="left" w:pos="8907"/>
        </w:tabs>
        <w:rPr>
          <w:sz w:val="28"/>
          <w:szCs w:val="28"/>
          <w:lang w:val="uk-UA"/>
        </w:rPr>
      </w:pPr>
      <w:r>
        <w:rPr>
          <w:sz w:val="28"/>
          <w:szCs w:val="28"/>
          <w:lang w:val="uk-UA"/>
        </w:rPr>
        <w:t xml:space="preserve">- податок на майно в частині                                                 </w:t>
      </w:r>
    </w:p>
    <w:p w:rsidR="006677B2" w:rsidRDefault="006677B2" w:rsidP="006677B2">
      <w:pPr>
        <w:tabs>
          <w:tab w:val="left" w:pos="0"/>
          <w:tab w:val="left" w:pos="6663"/>
          <w:tab w:val="left" w:pos="7230"/>
          <w:tab w:val="left" w:pos="8800"/>
          <w:tab w:val="left" w:pos="9214"/>
        </w:tabs>
        <w:rPr>
          <w:sz w:val="28"/>
          <w:szCs w:val="28"/>
          <w:lang w:val="uk-UA"/>
        </w:rPr>
      </w:pPr>
      <w:r>
        <w:rPr>
          <w:sz w:val="28"/>
          <w:szCs w:val="28"/>
          <w:lang w:val="uk-UA"/>
        </w:rPr>
        <w:t xml:space="preserve">  земельного податку (18010500-18010900)</w:t>
      </w:r>
      <w:r>
        <w:rPr>
          <w:sz w:val="28"/>
          <w:szCs w:val="28"/>
        </w:rPr>
        <w:t xml:space="preserve">                     </w:t>
      </w:r>
      <w:r>
        <w:rPr>
          <w:sz w:val="28"/>
          <w:szCs w:val="28"/>
          <w:lang w:val="uk-UA"/>
        </w:rPr>
        <w:t xml:space="preserve"> </w:t>
      </w:r>
      <w:r>
        <w:rPr>
          <w:sz w:val="28"/>
          <w:szCs w:val="28"/>
        </w:rPr>
        <w:t xml:space="preserve">123 070,743    </w:t>
      </w:r>
      <w:r>
        <w:rPr>
          <w:sz w:val="28"/>
          <w:szCs w:val="28"/>
          <w:lang w:val="uk-UA"/>
        </w:rPr>
        <w:t xml:space="preserve">       16,0</w:t>
      </w:r>
    </w:p>
    <w:p w:rsidR="006677B2" w:rsidRDefault="006677B2" w:rsidP="006677B2">
      <w:pPr>
        <w:tabs>
          <w:tab w:val="left" w:pos="0"/>
        </w:tabs>
        <w:rPr>
          <w:sz w:val="28"/>
          <w:szCs w:val="28"/>
          <w:lang w:val="uk-UA"/>
        </w:rPr>
      </w:pPr>
      <w:r>
        <w:rPr>
          <w:sz w:val="28"/>
          <w:szCs w:val="28"/>
        </w:rPr>
        <w:t xml:space="preserve">- </w:t>
      </w:r>
      <w:r>
        <w:rPr>
          <w:sz w:val="28"/>
          <w:szCs w:val="28"/>
          <w:lang w:val="uk-UA"/>
        </w:rPr>
        <w:t xml:space="preserve">акцизний податок                                                                      </w:t>
      </w:r>
    </w:p>
    <w:p w:rsidR="006677B2" w:rsidRDefault="006677B2" w:rsidP="006677B2">
      <w:pPr>
        <w:tabs>
          <w:tab w:val="left" w:pos="0"/>
          <w:tab w:val="left" w:pos="7513"/>
          <w:tab w:val="left" w:pos="9072"/>
        </w:tabs>
        <w:rPr>
          <w:sz w:val="28"/>
          <w:szCs w:val="28"/>
          <w:lang w:val="uk-UA"/>
        </w:rPr>
      </w:pPr>
      <w:r>
        <w:rPr>
          <w:sz w:val="28"/>
          <w:szCs w:val="28"/>
          <w:lang w:val="uk-UA"/>
        </w:rPr>
        <w:t xml:space="preserve">  (14021900;14031900;14040000)</w:t>
      </w:r>
      <w:r>
        <w:rPr>
          <w:sz w:val="28"/>
          <w:szCs w:val="28"/>
        </w:rPr>
        <w:t xml:space="preserve">                                       </w:t>
      </w:r>
      <w:r>
        <w:rPr>
          <w:sz w:val="28"/>
          <w:szCs w:val="28"/>
          <w:lang w:val="uk-UA"/>
        </w:rPr>
        <w:t xml:space="preserve">   </w:t>
      </w:r>
      <w:r>
        <w:rPr>
          <w:sz w:val="28"/>
          <w:szCs w:val="28"/>
        </w:rPr>
        <w:t>64 761,739</w:t>
      </w:r>
      <w:r>
        <w:rPr>
          <w:sz w:val="28"/>
          <w:szCs w:val="28"/>
          <w:lang w:val="uk-UA"/>
        </w:rPr>
        <w:t xml:space="preserve">             8,4</w:t>
      </w:r>
    </w:p>
    <w:p w:rsidR="006677B2" w:rsidRDefault="006677B2" w:rsidP="006677B2">
      <w:pPr>
        <w:tabs>
          <w:tab w:val="left" w:pos="0"/>
          <w:tab w:val="left" w:pos="7088"/>
          <w:tab w:val="left" w:pos="7371"/>
          <w:tab w:val="left" w:pos="7655"/>
        </w:tabs>
        <w:rPr>
          <w:sz w:val="28"/>
          <w:szCs w:val="28"/>
          <w:lang w:val="uk-UA"/>
        </w:rPr>
      </w:pPr>
      <w:r>
        <w:rPr>
          <w:sz w:val="28"/>
          <w:szCs w:val="28"/>
          <w:lang w:val="uk-UA"/>
        </w:rPr>
        <w:t>- єдиний податок  (18050000)</w:t>
      </w:r>
      <w:r>
        <w:rPr>
          <w:sz w:val="28"/>
          <w:szCs w:val="28"/>
        </w:rPr>
        <w:t xml:space="preserve">                                             </w:t>
      </w:r>
      <w:r>
        <w:rPr>
          <w:sz w:val="28"/>
          <w:szCs w:val="28"/>
          <w:lang w:val="uk-UA"/>
        </w:rPr>
        <w:t xml:space="preserve">   </w:t>
      </w:r>
      <w:r>
        <w:rPr>
          <w:sz w:val="28"/>
          <w:szCs w:val="28"/>
        </w:rPr>
        <w:t>64 561,417</w:t>
      </w:r>
      <w:r>
        <w:rPr>
          <w:sz w:val="28"/>
          <w:szCs w:val="28"/>
          <w:lang w:val="uk-UA"/>
        </w:rPr>
        <w:t xml:space="preserve">            8,4</w:t>
      </w:r>
    </w:p>
    <w:p w:rsidR="006677B2" w:rsidRDefault="006677B2" w:rsidP="006677B2">
      <w:pPr>
        <w:tabs>
          <w:tab w:val="left" w:pos="0"/>
        </w:tabs>
        <w:rPr>
          <w:b/>
          <w:bCs/>
          <w:iCs/>
          <w:sz w:val="28"/>
          <w:szCs w:val="28"/>
          <w:lang w:val="uk-UA"/>
        </w:rPr>
      </w:pPr>
      <w:r>
        <w:rPr>
          <w:sz w:val="28"/>
          <w:szCs w:val="28"/>
          <w:lang w:val="uk-UA"/>
        </w:rPr>
        <w:t xml:space="preserve">___________________________________________________________________                </w:t>
      </w:r>
      <w:r>
        <w:rPr>
          <w:b/>
          <w:bCs/>
          <w:iCs/>
          <w:sz w:val="28"/>
          <w:szCs w:val="28"/>
          <w:lang w:val="uk-UA"/>
        </w:rPr>
        <w:t>Разом:</w:t>
      </w:r>
      <w:r>
        <w:rPr>
          <w:b/>
          <w:bCs/>
          <w:iCs/>
          <w:sz w:val="28"/>
          <w:szCs w:val="28"/>
        </w:rPr>
        <w:t xml:space="preserve">                                                                                   </w:t>
      </w:r>
      <w:r>
        <w:rPr>
          <w:b/>
          <w:bCs/>
          <w:iCs/>
          <w:sz w:val="28"/>
          <w:szCs w:val="28"/>
          <w:lang w:val="uk-UA"/>
        </w:rPr>
        <w:t xml:space="preserve"> </w:t>
      </w:r>
      <w:r>
        <w:rPr>
          <w:b/>
          <w:bCs/>
          <w:iCs/>
          <w:sz w:val="28"/>
          <w:szCs w:val="28"/>
        </w:rPr>
        <w:t>739 755,640</w:t>
      </w:r>
      <w:r>
        <w:rPr>
          <w:b/>
          <w:bCs/>
          <w:iCs/>
          <w:sz w:val="28"/>
          <w:szCs w:val="28"/>
          <w:lang w:val="uk-UA"/>
        </w:rPr>
        <w:t xml:space="preserve">    96,1   </w:t>
      </w:r>
    </w:p>
    <w:p w:rsidR="006677B2" w:rsidRDefault="006677B2" w:rsidP="006677B2">
      <w:pPr>
        <w:jc w:val="both"/>
        <w:rPr>
          <w:b/>
          <w:bCs/>
          <w:iCs/>
          <w:sz w:val="28"/>
          <w:szCs w:val="28"/>
          <w:lang w:val="uk-UA"/>
        </w:rPr>
      </w:pPr>
    </w:p>
    <w:p w:rsidR="006677B2" w:rsidRDefault="006677B2" w:rsidP="006677B2">
      <w:pPr>
        <w:ind w:firstLine="709"/>
        <w:jc w:val="both"/>
        <w:rPr>
          <w:bCs/>
          <w:iCs/>
          <w:sz w:val="28"/>
          <w:szCs w:val="28"/>
          <w:lang w:val="uk-UA"/>
        </w:rPr>
      </w:pPr>
      <w:r>
        <w:rPr>
          <w:bCs/>
          <w:iCs/>
          <w:sz w:val="28"/>
          <w:szCs w:val="28"/>
          <w:lang w:val="uk-UA"/>
        </w:rPr>
        <w:t>Значно вплинуло на виконання доходної частини міського бюджету станом на 01.10.2017 недонадходження акцизного податку  (14021900;14031900 «Пальне»),</w:t>
      </w:r>
      <w:r>
        <w:rPr>
          <w:sz w:val="24"/>
          <w:szCs w:val="24"/>
          <w:lang w:val="uk-UA"/>
        </w:rPr>
        <w:t xml:space="preserve"> </w:t>
      </w:r>
      <w:r>
        <w:rPr>
          <w:bCs/>
          <w:iCs/>
          <w:sz w:val="28"/>
          <w:szCs w:val="28"/>
          <w:lang w:val="uk-UA"/>
        </w:rPr>
        <w:t>розмежування якого було призупинено</w:t>
      </w:r>
      <w:r>
        <w:rPr>
          <w:sz w:val="24"/>
          <w:szCs w:val="24"/>
          <w:lang w:val="uk-UA"/>
        </w:rPr>
        <w:t xml:space="preserve"> </w:t>
      </w:r>
      <w:r>
        <w:rPr>
          <w:bCs/>
          <w:iCs/>
          <w:sz w:val="28"/>
          <w:szCs w:val="28"/>
          <w:lang w:val="uk-UA"/>
        </w:rPr>
        <w:t>з 04.07.2017 по 01.10.2017.</w:t>
      </w:r>
    </w:p>
    <w:p w:rsidR="006677B2" w:rsidRDefault="006677B2" w:rsidP="006677B2">
      <w:pPr>
        <w:ind w:firstLine="709"/>
        <w:jc w:val="both"/>
        <w:rPr>
          <w:sz w:val="28"/>
          <w:szCs w:val="28"/>
          <w:lang w:val="uk-UA"/>
        </w:rPr>
      </w:pPr>
      <w:r>
        <w:rPr>
          <w:spacing w:val="1"/>
          <w:sz w:val="28"/>
          <w:szCs w:val="28"/>
          <w:lang w:val="uk-UA"/>
        </w:rPr>
        <w:t xml:space="preserve">При  уточненому затвердженому плані по вказаних двох кодах доходів – 38 625,000 тис. грн. фактично надійшло 26 385,318 тис. грн. </w:t>
      </w:r>
      <w:r>
        <w:rPr>
          <w:sz w:val="28"/>
          <w:szCs w:val="28"/>
          <w:lang w:val="uk-UA"/>
        </w:rPr>
        <w:t xml:space="preserve">або виконання плану забезпечено на 68,3%  /-/ 12 239,682 тис. грн. </w:t>
      </w:r>
    </w:p>
    <w:p w:rsidR="006677B2" w:rsidRDefault="006677B2" w:rsidP="006677B2">
      <w:pPr>
        <w:ind w:firstLine="709"/>
        <w:jc w:val="both"/>
        <w:rPr>
          <w:sz w:val="28"/>
          <w:szCs w:val="28"/>
          <w:lang w:val="uk-UA"/>
        </w:rPr>
      </w:pPr>
      <w:r>
        <w:rPr>
          <w:sz w:val="28"/>
          <w:szCs w:val="28"/>
          <w:lang w:val="uk-UA"/>
        </w:rPr>
        <w:t>Відповідно до Порядку, затвердженого постановою Кабінету Міністрів України від 8 лютого 2017 р. № 96, в І півріччі 2017 року даний податок розмежовувався з виробленого та ввезеного пального, виходячи з фактичних нарахувань з роздрібної торгівлі пальним за 2016 рік на відповідній території. Механізм щоденного розподілу запрацював з 15.03.2017.</w:t>
      </w:r>
    </w:p>
    <w:p w:rsidR="006677B2" w:rsidRDefault="006677B2" w:rsidP="006677B2">
      <w:pPr>
        <w:ind w:firstLine="709"/>
        <w:jc w:val="both"/>
        <w:rPr>
          <w:sz w:val="28"/>
          <w:szCs w:val="28"/>
          <w:lang w:val="uk-UA" w:eastAsia="ar-SA"/>
        </w:rPr>
      </w:pPr>
      <w:r>
        <w:rPr>
          <w:sz w:val="28"/>
          <w:szCs w:val="28"/>
          <w:lang w:val="uk-UA"/>
        </w:rPr>
        <w:t xml:space="preserve">У ІІ півріччі 2017 року розподіл повинен здійснюватися  </w:t>
      </w:r>
      <w:proofErr w:type="spellStart"/>
      <w:r>
        <w:rPr>
          <w:sz w:val="28"/>
          <w:szCs w:val="28"/>
          <w:lang w:val="uk-UA"/>
        </w:rPr>
        <w:t>пропорційно</w:t>
      </w:r>
      <w:proofErr w:type="spellEnd"/>
      <w:r>
        <w:rPr>
          <w:sz w:val="28"/>
          <w:szCs w:val="28"/>
          <w:lang w:val="uk-UA"/>
        </w:rPr>
        <w:t xml:space="preserve"> до обсягу реалізованого суб’єктами господарювання роздрібної торгівлі пального на відповідній території за І півріччя 2017 року в загальному обсязі такого реалізованого пального в цілому по Україні.</w:t>
      </w:r>
      <w:r>
        <w:rPr>
          <w:spacing w:val="1"/>
          <w:sz w:val="28"/>
          <w:szCs w:val="28"/>
          <w:lang w:val="uk-UA"/>
        </w:rPr>
        <w:t xml:space="preserve"> </w:t>
      </w:r>
      <w:r>
        <w:rPr>
          <w:sz w:val="28"/>
          <w:szCs w:val="28"/>
          <w:lang w:val="uk-UA"/>
        </w:rPr>
        <w:t xml:space="preserve">За роз’ясненням ГУДКСУ в </w:t>
      </w:r>
      <w:r>
        <w:rPr>
          <w:sz w:val="28"/>
          <w:szCs w:val="28"/>
          <w:lang w:val="uk-UA"/>
        </w:rPr>
        <w:lastRenderedPageBreak/>
        <w:t>Полтавській області та Департаменту фінансів Полтавської ОДА  призупинення розмежування пов’язано з відсутністю механізму розподілу.</w:t>
      </w:r>
      <w:r>
        <w:rPr>
          <w:sz w:val="28"/>
          <w:szCs w:val="28"/>
          <w:lang w:val="uk-UA" w:eastAsia="ar-SA"/>
        </w:rPr>
        <w:t xml:space="preserve"> </w:t>
      </w:r>
    </w:p>
    <w:p w:rsidR="006677B2" w:rsidRDefault="006677B2" w:rsidP="006677B2">
      <w:pPr>
        <w:ind w:firstLine="709"/>
        <w:jc w:val="both"/>
        <w:rPr>
          <w:sz w:val="28"/>
          <w:szCs w:val="28"/>
          <w:lang w:val="uk-UA"/>
        </w:rPr>
      </w:pPr>
      <w:r>
        <w:rPr>
          <w:sz w:val="28"/>
          <w:szCs w:val="28"/>
          <w:lang w:val="uk-UA" w:eastAsia="ar-SA"/>
        </w:rPr>
        <w:t>Постановою Кабінету Міністрів України від 20 вересня 2017 р. № 726 «Про внесення змін до  постанови Кабінету Міністрів України від 8 лютого 2017 р. № 96 «Деякі питання зарахування частини акцизного податку з виробленого в Україні та ввезеного на митну територію України пального до бюджетів місцевого самоврядування»»</w:t>
      </w:r>
      <w:r>
        <w:rPr>
          <w:sz w:val="28"/>
          <w:szCs w:val="28"/>
          <w:lang w:val="uk-UA"/>
        </w:rPr>
        <w:t xml:space="preserve"> дане питання було врегульоване. Найближчим часом очікуються надходження акцизного податку  (14021900;14031900 «Пальне») до міського бюджету.</w:t>
      </w:r>
    </w:p>
    <w:p w:rsidR="006677B2" w:rsidRDefault="006677B2" w:rsidP="006677B2">
      <w:pPr>
        <w:ind w:firstLine="709"/>
        <w:jc w:val="both"/>
        <w:rPr>
          <w:sz w:val="28"/>
          <w:szCs w:val="28"/>
          <w:lang w:val="uk-UA"/>
        </w:rPr>
      </w:pPr>
    </w:p>
    <w:p w:rsidR="006677B2" w:rsidRDefault="006677B2" w:rsidP="006677B2">
      <w:pPr>
        <w:ind w:firstLine="709"/>
        <w:jc w:val="both"/>
        <w:rPr>
          <w:sz w:val="28"/>
          <w:szCs w:val="28"/>
          <w:lang w:val="uk-UA"/>
        </w:rPr>
      </w:pPr>
      <w:r>
        <w:rPr>
          <w:sz w:val="28"/>
          <w:szCs w:val="28"/>
          <w:lang w:val="uk-UA"/>
        </w:rPr>
        <w:t>Крім того, за звітний період  не виконані планові  показники по джерелах доходів:</w:t>
      </w:r>
    </w:p>
    <w:p w:rsidR="006677B2" w:rsidRDefault="006677B2" w:rsidP="006677B2">
      <w:pPr>
        <w:numPr>
          <w:ilvl w:val="0"/>
          <w:numId w:val="1"/>
        </w:numPr>
        <w:tabs>
          <w:tab w:val="left" w:pos="993"/>
        </w:tabs>
        <w:ind w:left="0" w:firstLine="709"/>
        <w:contextualSpacing/>
        <w:jc w:val="both"/>
        <w:rPr>
          <w:sz w:val="28"/>
          <w:szCs w:val="28"/>
          <w:lang w:val="uk-UA"/>
        </w:rPr>
      </w:pPr>
      <w:r>
        <w:rPr>
          <w:spacing w:val="1"/>
          <w:sz w:val="28"/>
          <w:szCs w:val="28"/>
          <w:lang w:val="uk-UA"/>
        </w:rPr>
        <w:t>податку на доходи фізичних осіб – 99,6% при  уточненому                          плані 489 217,931 тис. грн. фактично надійшло 487 361,741 тис. грн.                             /-/ 1 856,190 тис. грн., виконання до річного плану склало – 70,7%;</w:t>
      </w:r>
    </w:p>
    <w:p w:rsidR="006677B2" w:rsidRDefault="006677B2" w:rsidP="006677B2">
      <w:pPr>
        <w:numPr>
          <w:ilvl w:val="0"/>
          <w:numId w:val="1"/>
        </w:numPr>
        <w:tabs>
          <w:tab w:val="left" w:pos="993"/>
        </w:tabs>
        <w:ind w:left="0" w:firstLine="709"/>
        <w:contextualSpacing/>
        <w:jc w:val="both"/>
        <w:rPr>
          <w:sz w:val="28"/>
          <w:szCs w:val="28"/>
          <w:lang w:val="uk-UA"/>
        </w:rPr>
      </w:pPr>
      <w:r>
        <w:rPr>
          <w:spacing w:val="1"/>
          <w:sz w:val="28"/>
          <w:szCs w:val="28"/>
          <w:lang w:val="uk-UA"/>
        </w:rPr>
        <w:t xml:space="preserve">адміністративних штрафах та штрафних санкціях за порушення законодавства у сфері виробництва та обігу алкогольних напоїв та тютюнових виробів при затвердженому плані 75,000 тис. грн. фактично надійшло              70,122 тис. грн. </w:t>
      </w:r>
      <w:r>
        <w:rPr>
          <w:sz w:val="28"/>
          <w:szCs w:val="28"/>
          <w:lang w:val="uk-UA"/>
        </w:rPr>
        <w:t>або виконання плану забезпечено на 93,5%/-/ 4,878 тис. грн. При плануванні бюджету було враховано пропозиції Кременчуцької ОДПІ ГУ ДФС у Полтавській області. Даний платіж не носить постійного характеру.</w:t>
      </w:r>
    </w:p>
    <w:p w:rsidR="006677B2" w:rsidRDefault="006677B2" w:rsidP="006677B2">
      <w:pPr>
        <w:jc w:val="both"/>
        <w:rPr>
          <w:sz w:val="28"/>
          <w:szCs w:val="28"/>
          <w:lang w:val="uk-UA"/>
        </w:rPr>
      </w:pPr>
    </w:p>
    <w:p w:rsidR="006677B2" w:rsidRDefault="006677B2" w:rsidP="006677B2">
      <w:pPr>
        <w:ind w:firstLine="709"/>
        <w:jc w:val="both"/>
        <w:rPr>
          <w:sz w:val="28"/>
          <w:szCs w:val="28"/>
          <w:lang w:val="uk-UA"/>
        </w:rPr>
      </w:pPr>
      <w:r>
        <w:rPr>
          <w:sz w:val="28"/>
          <w:szCs w:val="28"/>
          <w:lang w:val="uk-UA"/>
        </w:rPr>
        <w:t xml:space="preserve">За  9 місяців </w:t>
      </w:r>
      <w:proofErr w:type="spellStart"/>
      <w:r>
        <w:rPr>
          <w:sz w:val="28"/>
          <w:szCs w:val="28"/>
          <w:lang w:val="uk-UA"/>
        </w:rPr>
        <w:t>п.р</w:t>
      </w:r>
      <w:proofErr w:type="spellEnd"/>
      <w:r>
        <w:rPr>
          <w:sz w:val="28"/>
          <w:szCs w:val="28"/>
          <w:lang w:val="uk-UA"/>
        </w:rPr>
        <w:t xml:space="preserve">. перевиконано уточнені  планові показники по всіх інших джерелах доходів, крім вищезазначених, в тому числі: </w:t>
      </w:r>
    </w:p>
    <w:p w:rsidR="006677B2" w:rsidRDefault="006677B2" w:rsidP="006677B2">
      <w:pPr>
        <w:numPr>
          <w:ilvl w:val="0"/>
          <w:numId w:val="1"/>
        </w:numPr>
        <w:tabs>
          <w:tab w:val="left" w:pos="993"/>
        </w:tabs>
        <w:ind w:left="0" w:firstLine="709"/>
        <w:contextualSpacing/>
        <w:jc w:val="both"/>
        <w:rPr>
          <w:spacing w:val="1"/>
          <w:sz w:val="28"/>
          <w:szCs w:val="28"/>
          <w:lang w:val="uk-UA"/>
        </w:rPr>
      </w:pPr>
      <w:r>
        <w:rPr>
          <w:spacing w:val="1"/>
          <w:sz w:val="28"/>
          <w:szCs w:val="28"/>
          <w:lang w:val="uk-UA"/>
        </w:rPr>
        <w:t>податку на майно в частині  земельного податку – 102,5%</w:t>
      </w:r>
      <w:r>
        <w:rPr>
          <w:sz w:val="28"/>
          <w:szCs w:val="28"/>
          <w:lang w:val="uk-UA"/>
        </w:rPr>
        <w:t xml:space="preserve"> </w:t>
      </w:r>
      <w:r>
        <w:rPr>
          <w:spacing w:val="1"/>
          <w:sz w:val="28"/>
          <w:szCs w:val="28"/>
          <w:lang w:val="uk-UA"/>
        </w:rPr>
        <w:t>при                        уточненому плані 120 125,000 тис. грн. фактично надійшло                           123 070,743 тис. грн. /+/ 2 945,743 тис. грн., до річного плану – 77,5%;</w:t>
      </w:r>
      <w:r>
        <w:rPr>
          <w:sz w:val="28"/>
          <w:szCs w:val="28"/>
          <w:lang w:val="uk-UA"/>
        </w:rPr>
        <w:t xml:space="preserve"> </w:t>
      </w:r>
    </w:p>
    <w:p w:rsidR="006677B2" w:rsidRDefault="006677B2" w:rsidP="006677B2">
      <w:pPr>
        <w:numPr>
          <w:ilvl w:val="0"/>
          <w:numId w:val="1"/>
        </w:numPr>
        <w:tabs>
          <w:tab w:val="left" w:pos="993"/>
        </w:tabs>
        <w:ind w:left="0" w:firstLine="709"/>
        <w:contextualSpacing/>
        <w:jc w:val="both"/>
        <w:rPr>
          <w:spacing w:val="1"/>
          <w:sz w:val="28"/>
          <w:szCs w:val="28"/>
          <w:lang w:val="uk-UA"/>
        </w:rPr>
      </w:pPr>
      <w:r>
        <w:rPr>
          <w:spacing w:val="1"/>
          <w:sz w:val="28"/>
          <w:szCs w:val="28"/>
          <w:lang w:val="uk-UA"/>
        </w:rPr>
        <w:t xml:space="preserve">єдиному податку – 101,8%  при уточненому плані 63 413,500 тис. грн. фактично надійшло  64 561,417 тис. грн. /+/ 1 147,917  тис. грн., до річного плану -  76,9%; </w:t>
      </w:r>
    </w:p>
    <w:p w:rsidR="006677B2" w:rsidRDefault="006677B2" w:rsidP="006677B2">
      <w:pPr>
        <w:numPr>
          <w:ilvl w:val="0"/>
          <w:numId w:val="1"/>
        </w:numPr>
        <w:tabs>
          <w:tab w:val="left" w:pos="993"/>
        </w:tabs>
        <w:ind w:left="0" w:firstLine="709"/>
        <w:contextualSpacing/>
        <w:jc w:val="both"/>
        <w:rPr>
          <w:spacing w:val="1"/>
          <w:sz w:val="28"/>
          <w:szCs w:val="28"/>
          <w:lang w:val="uk-UA"/>
        </w:rPr>
      </w:pPr>
      <w:r>
        <w:rPr>
          <w:spacing w:val="1"/>
          <w:sz w:val="28"/>
          <w:szCs w:val="28"/>
          <w:lang w:val="uk-UA"/>
        </w:rPr>
        <w:t xml:space="preserve">акцизному податку з реалізації  суб’єктами господарювання                роздрібної торгівлі  підакцизних товарів (14040000) </w:t>
      </w:r>
      <w:r>
        <w:rPr>
          <w:sz w:val="28"/>
          <w:szCs w:val="28"/>
          <w:lang w:val="uk-UA"/>
        </w:rPr>
        <w:t xml:space="preserve">– 107,3% </w:t>
      </w:r>
      <w:r>
        <w:rPr>
          <w:spacing w:val="1"/>
          <w:sz w:val="28"/>
          <w:szCs w:val="28"/>
          <w:lang w:val="uk-UA"/>
        </w:rPr>
        <w:t>при плані 35 761,568 тис. грн. фактично надійшло 38 376,421 тис. грн.                                          /+/ 2 614,853 тис. грн., до річного плану -  87,2%.</w:t>
      </w:r>
    </w:p>
    <w:p w:rsidR="006677B2" w:rsidRDefault="006677B2" w:rsidP="006677B2">
      <w:pPr>
        <w:ind w:firstLine="696"/>
        <w:jc w:val="both"/>
        <w:rPr>
          <w:spacing w:val="1"/>
          <w:sz w:val="28"/>
          <w:szCs w:val="28"/>
          <w:lang w:val="uk-UA"/>
        </w:rPr>
      </w:pPr>
    </w:p>
    <w:p w:rsidR="006677B2" w:rsidRDefault="006677B2" w:rsidP="006677B2">
      <w:pPr>
        <w:tabs>
          <w:tab w:val="left" w:pos="2895"/>
          <w:tab w:val="left" w:pos="5655"/>
          <w:tab w:val="left" w:pos="8460"/>
        </w:tabs>
        <w:ind w:firstLine="709"/>
        <w:jc w:val="both"/>
        <w:rPr>
          <w:sz w:val="28"/>
          <w:szCs w:val="28"/>
          <w:lang w:val="uk-UA"/>
        </w:rPr>
      </w:pPr>
      <w:r>
        <w:rPr>
          <w:sz w:val="28"/>
          <w:szCs w:val="28"/>
          <w:lang w:val="uk-UA"/>
        </w:rPr>
        <w:t xml:space="preserve">В  порівнянні з </w:t>
      </w:r>
      <w:proofErr w:type="spellStart"/>
      <w:r>
        <w:rPr>
          <w:sz w:val="28"/>
          <w:szCs w:val="28"/>
          <w:lang w:val="uk-UA"/>
        </w:rPr>
        <w:t>в.п.м.р</w:t>
      </w:r>
      <w:proofErr w:type="spellEnd"/>
      <w:r>
        <w:rPr>
          <w:sz w:val="28"/>
          <w:szCs w:val="28"/>
          <w:lang w:val="uk-UA"/>
        </w:rPr>
        <w:t xml:space="preserve">. надходження до загального фонду зросли на 29,6% або /+/ 175 739,078 тис. грн., в тому числі по: </w:t>
      </w:r>
      <w:proofErr w:type="spellStart"/>
      <w:r>
        <w:rPr>
          <w:b/>
          <w:sz w:val="28"/>
          <w:szCs w:val="28"/>
          <w:lang w:val="uk-UA"/>
        </w:rPr>
        <w:t>пдфо</w:t>
      </w:r>
      <w:proofErr w:type="spellEnd"/>
      <w:r>
        <w:rPr>
          <w:sz w:val="28"/>
          <w:szCs w:val="28"/>
          <w:lang w:val="uk-UA"/>
        </w:rPr>
        <w:t xml:space="preserve"> на 42,7% або                    /+/ 145 763,281 тис. грн. , що в основному пов’язано із збільшенням  розміру мінімальної заробітної плати до рівня 3200 грн., зростанням фонду оплати праці на підприємствах міста, а також зростанням заробітної плати працівників бюджетної сфери на 30% - 50%; </w:t>
      </w:r>
      <w:r>
        <w:rPr>
          <w:b/>
          <w:sz w:val="28"/>
          <w:szCs w:val="28"/>
          <w:lang w:val="uk-UA"/>
        </w:rPr>
        <w:t>єдиному податку</w:t>
      </w:r>
      <w:r>
        <w:rPr>
          <w:sz w:val="28"/>
          <w:szCs w:val="28"/>
          <w:lang w:val="uk-UA"/>
        </w:rPr>
        <w:t xml:space="preserve"> на 38,4%/+/                     17 920,720 тис. грн. На збільшення надходжень від сплати єдиного податку фізичними особами вплинуло: збільшення кількості платників  єдиного податку, зростання цін на товари, послуги та зростанням обсягів оподатковуваного доходу платників, сплата донарахованих сум за результатами документальних позапланових перевірок. Відсутність росту обсягів надходжень у 2017 році  по єдиному податку з юридичних осіб обумовлена зменшенням кількості платників, що  пов’язано з проведенням ліквідаційної процедури </w:t>
      </w:r>
      <w:r>
        <w:rPr>
          <w:sz w:val="28"/>
          <w:szCs w:val="28"/>
          <w:lang w:val="uk-UA"/>
        </w:rPr>
        <w:lastRenderedPageBreak/>
        <w:t xml:space="preserve">(більшості випадків за власним рішенням); </w:t>
      </w:r>
      <w:r>
        <w:rPr>
          <w:b/>
          <w:sz w:val="28"/>
          <w:szCs w:val="28"/>
          <w:lang w:val="uk-UA"/>
        </w:rPr>
        <w:t>податку на майно в частині  земельного податку</w:t>
      </w:r>
      <w:r>
        <w:rPr>
          <w:sz w:val="28"/>
          <w:szCs w:val="28"/>
          <w:lang w:val="uk-UA"/>
        </w:rPr>
        <w:t xml:space="preserve">  на 19,5 % або  /+/ 20 088,976 тис. грн., зростання надходжень пов’язане з індексацією нормативної грошової оцінки земель  за 2016 рік на коефіцієнт – 1,06.</w:t>
      </w:r>
    </w:p>
    <w:p w:rsidR="006677B2" w:rsidRDefault="006677B2" w:rsidP="006677B2">
      <w:pPr>
        <w:ind w:firstLine="702"/>
        <w:jc w:val="both"/>
        <w:rPr>
          <w:sz w:val="28"/>
          <w:szCs w:val="28"/>
          <w:lang w:val="uk-UA"/>
        </w:rPr>
      </w:pPr>
      <w:r>
        <w:rPr>
          <w:sz w:val="28"/>
          <w:szCs w:val="28"/>
          <w:lang w:val="uk-UA"/>
        </w:rPr>
        <w:t xml:space="preserve">Крім того, значно збільшились надходження по платі за надання інших адміністративних послуг (22012500) /+/4 473,193 тис. грн. або в 2,3 рази, що пояснюється зарахуванням до міського бюджету плати за оформлення паспортів, в </w:t>
      </w:r>
      <w:proofErr w:type="spellStart"/>
      <w:r>
        <w:rPr>
          <w:sz w:val="28"/>
          <w:szCs w:val="28"/>
          <w:lang w:val="uk-UA"/>
        </w:rPr>
        <w:t>т.ч</w:t>
      </w:r>
      <w:proofErr w:type="spellEnd"/>
      <w:r>
        <w:rPr>
          <w:sz w:val="28"/>
          <w:szCs w:val="28"/>
          <w:lang w:val="uk-UA"/>
        </w:rPr>
        <w:t xml:space="preserve">. замість втрачених або викрадених, обмін документів, що підтверджують громадянство України, посвідчують особу та її статус(зміни в законодавстві), що стягується Управлінням міграційної служби України,   та  яка почала надходити до міського бюджету з лютого місяця 2017 року. Плата за надання </w:t>
      </w:r>
      <w:proofErr w:type="spellStart"/>
      <w:r>
        <w:rPr>
          <w:sz w:val="28"/>
          <w:szCs w:val="28"/>
          <w:lang w:val="uk-UA"/>
        </w:rPr>
        <w:t>адмінпослуг</w:t>
      </w:r>
      <w:proofErr w:type="spellEnd"/>
      <w:r>
        <w:rPr>
          <w:sz w:val="28"/>
          <w:szCs w:val="28"/>
          <w:lang w:val="uk-UA"/>
        </w:rPr>
        <w:t xml:space="preserve"> розмежовується між міським та державним бюджетами  у розмірі 70% та 30% відповідно.</w:t>
      </w:r>
    </w:p>
    <w:p w:rsidR="006677B2" w:rsidRDefault="006677B2" w:rsidP="006677B2">
      <w:pPr>
        <w:ind w:firstLine="709"/>
        <w:jc w:val="right"/>
        <w:rPr>
          <w:sz w:val="28"/>
          <w:szCs w:val="28"/>
          <w:lang w:val="uk-UA"/>
        </w:rPr>
      </w:pPr>
      <w:r>
        <w:rPr>
          <w:sz w:val="28"/>
          <w:szCs w:val="28"/>
          <w:lang w:val="uk-UA"/>
        </w:rPr>
        <w:t>тис. грн.</w:t>
      </w:r>
    </w:p>
    <w:p w:rsidR="006677B2" w:rsidRDefault="006677B2" w:rsidP="006677B2">
      <w:pPr>
        <w:pBdr>
          <w:top w:val="single" w:sz="4" w:space="1" w:color="auto"/>
          <w:left w:val="single" w:sz="4" w:space="4" w:color="auto"/>
          <w:bottom w:val="single" w:sz="4" w:space="1" w:color="auto"/>
          <w:right w:val="single" w:sz="4" w:space="4" w:color="auto"/>
        </w:pBdr>
        <w:jc w:val="right"/>
        <w:rPr>
          <w:b/>
          <w:color w:val="FF0000"/>
          <w:sz w:val="28"/>
          <w:szCs w:val="28"/>
          <w:lang w:val="uk-UA"/>
        </w:rPr>
      </w:pPr>
      <w:r>
        <w:rPr>
          <w:bCs/>
          <w:iCs/>
          <w:noProof/>
          <w:color w:val="FF0000"/>
          <w:sz w:val="28"/>
          <w:szCs w:val="28"/>
        </w:rPr>
        <w:drawing>
          <wp:inline distT="0" distB="0" distL="0" distR="0">
            <wp:extent cx="6115050" cy="4810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4810125"/>
                    </a:xfrm>
                    <a:prstGeom prst="rect">
                      <a:avLst/>
                    </a:prstGeom>
                    <a:noFill/>
                    <a:ln>
                      <a:noFill/>
                    </a:ln>
                  </pic:spPr>
                </pic:pic>
              </a:graphicData>
            </a:graphic>
          </wp:inline>
        </w:drawing>
      </w:r>
      <w:r>
        <w:rPr>
          <w:b/>
          <w:color w:val="FF0000"/>
          <w:sz w:val="28"/>
          <w:szCs w:val="28"/>
          <w:lang w:val="uk-UA"/>
        </w:rPr>
        <w:t xml:space="preserve">          </w:t>
      </w:r>
    </w:p>
    <w:p w:rsidR="006677B2" w:rsidRDefault="006677B2" w:rsidP="006677B2">
      <w:pPr>
        <w:tabs>
          <w:tab w:val="left" w:pos="2895"/>
          <w:tab w:val="left" w:pos="5655"/>
          <w:tab w:val="left" w:pos="8460"/>
        </w:tabs>
        <w:ind w:firstLine="709"/>
        <w:jc w:val="center"/>
        <w:rPr>
          <w:color w:val="FF0000"/>
          <w:sz w:val="28"/>
          <w:szCs w:val="28"/>
          <w:lang w:val="uk-UA"/>
        </w:rPr>
      </w:pPr>
    </w:p>
    <w:p w:rsidR="006677B2" w:rsidRDefault="006677B2" w:rsidP="006677B2">
      <w:pPr>
        <w:ind w:firstLine="696"/>
        <w:jc w:val="both"/>
        <w:rPr>
          <w:sz w:val="28"/>
          <w:szCs w:val="28"/>
          <w:lang w:val="uk-UA"/>
        </w:rPr>
      </w:pPr>
      <w:r>
        <w:rPr>
          <w:spacing w:val="1"/>
          <w:sz w:val="28"/>
          <w:szCs w:val="28"/>
          <w:lang w:val="uk-UA"/>
        </w:rPr>
        <w:t>За інформацією управління економіки виконавчого комітету Кременчуцької міської ради Полтавської області станом на 01.10.2017 с</w:t>
      </w:r>
      <w:r>
        <w:rPr>
          <w:sz w:val="28"/>
          <w:szCs w:val="28"/>
          <w:lang w:val="uk-UA"/>
        </w:rPr>
        <w:t xml:space="preserve">постерігалося зниження обсягів виробництва в порівнянні з аналогічним періодом 2016 року на бюджетоутворюючих підприємствах міста:                       ПАТ «Кременчуцький </w:t>
      </w:r>
      <w:proofErr w:type="spellStart"/>
      <w:r>
        <w:rPr>
          <w:sz w:val="28"/>
          <w:szCs w:val="28"/>
          <w:lang w:val="uk-UA"/>
        </w:rPr>
        <w:t>міськмолокозавод</w:t>
      </w:r>
      <w:proofErr w:type="spellEnd"/>
      <w:r>
        <w:rPr>
          <w:sz w:val="28"/>
          <w:szCs w:val="28"/>
          <w:lang w:val="uk-UA"/>
        </w:rPr>
        <w:t>» - на 13,8%; ПрАТ ВТФ «КРЕМТЕКС» - на 5,7%; ВП «</w:t>
      </w:r>
      <w:proofErr w:type="spellStart"/>
      <w:r>
        <w:rPr>
          <w:sz w:val="28"/>
          <w:szCs w:val="28"/>
          <w:lang w:val="uk-UA"/>
        </w:rPr>
        <w:t>Крюківський</w:t>
      </w:r>
      <w:proofErr w:type="spellEnd"/>
      <w:r>
        <w:rPr>
          <w:sz w:val="28"/>
          <w:szCs w:val="28"/>
          <w:lang w:val="uk-UA"/>
        </w:rPr>
        <w:t xml:space="preserve">  кар’єр» «ЦУП» ПАТ «Укрзалізниця» -  на 3,6%.</w:t>
      </w:r>
    </w:p>
    <w:p w:rsidR="006677B2" w:rsidRDefault="006677B2" w:rsidP="006677B2">
      <w:pPr>
        <w:ind w:firstLine="696"/>
        <w:jc w:val="both"/>
        <w:rPr>
          <w:sz w:val="28"/>
          <w:szCs w:val="28"/>
          <w:lang w:val="uk-UA"/>
        </w:rPr>
      </w:pPr>
      <w:r>
        <w:rPr>
          <w:sz w:val="28"/>
          <w:szCs w:val="28"/>
          <w:lang w:val="uk-UA"/>
        </w:rPr>
        <w:t>В той же час ПАТ «</w:t>
      </w:r>
      <w:proofErr w:type="spellStart"/>
      <w:r>
        <w:rPr>
          <w:sz w:val="28"/>
          <w:szCs w:val="28"/>
          <w:lang w:val="uk-UA"/>
        </w:rPr>
        <w:t>Крюківський</w:t>
      </w:r>
      <w:proofErr w:type="spellEnd"/>
      <w:r>
        <w:rPr>
          <w:sz w:val="28"/>
          <w:szCs w:val="28"/>
          <w:lang w:val="uk-UA"/>
        </w:rPr>
        <w:t xml:space="preserve"> вагонобудівний завод» наростив випуск вантажних вагонів  </w:t>
      </w:r>
      <w:r>
        <w:rPr>
          <w:sz w:val="28"/>
          <w:szCs w:val="28"/>
        </w:rPr>
        <w:t>на 27,8%</w:t>
      </w:r>
      <w:r>
        <w:rPr>
          <w:sz w:val="28"/>
          <w:szCs w:val="28"/>
          <w:lang w:val="uk-UA"/>
        </w:rPr>
        <w:t xml:space="preserve">, пасажирські вагони: січень - вересень  2017 року –  </w:t>
      </w:r>
      <w:r>
        <w:rPr>
          <w:sz w:val="28"/>
          <w:szCs w:val="28"/>
          <w:lang w:val="uk-UA"/>
        </w:rPr>
        <w:lastRenderedPageBreak/>
        <w:t>26 шт., січень - вересень  2016 року – 0 шт., модернізація  вагонів – 15 шт.;                 ПАТ «</w:t>
      </w:r>
      <w:proofErr w:type="spellStart"/>
      <w:r>
        <w:rPr>
          <w:sz w:val="28"/>
          <w:szCs w:val="28"/>
          <w:lang w:val="uk-UA"/>
        </w:rPr>
        <w:t>Кредмаш</w:t>
      </w:r>
      <w:proofErr w:type="spellEnd"/>
      <w:r>
        <w:rPr>
          <w:sz w:val="28"/>
          <w:szCs w:val="28"/>
          <w:lang w:val="uk-UA"/>
        </w:rPr>
        <w:t>» - вироблено установок більше в 2,1 р.; ПАТ «</w:t>
      </w:r>
      <w:proofErr w:type="spellStart"/>
      <w:r>
        <w:rPr>
          <w:sz w:val="28"/>
          <w:szCs w:val="28"/>
          <w:lang w:val="uk-UA"/>
        </w:rPr>
        <w:t>Стальзавод</w:t>
      </w:r>
      <w:proofErr w:type="spellEnd"/>
      <w:r>
        <w:rPr>
          <w:sz w:val="28"/>
          <w:szCs w:val="28"/>
          <w:lang w:val="uk-UA"/>
        </w:rPr>
        <w:t xml:space="preserve">» - січень - вересень  2017 року – 9 670,0 </w:t>
      </w:r>
      <w:r w:rsidR="0014224E">
        <w:rPr>
          <w:sz w:val="28"/>
          <w:szCs w:val="28"/>
          <w:lang w:val="uk-UA"/>
        </w:rPr>
        <w:t>тонн</w:t>
      </w:r>
      <w:r>
        <w:rPr>
          <w:sz w:val="28"/>
          <w:szCs w:val="28"/>
          <w:lang w:val="uk-UA"/>
        </w:rPr>
        <w:t xml:space="preserve"> литва, січень - вересень  2016 року –  0 </w:t>
      </w:r>
      <w:proofErr w:type="spellStart"/>
      <w:r>
        <w:rPr>
          <w:sz w:val="28"/>
          <w:szCs w:val="28"/>
          <w:lang w:val="uk-UA"/>
        </w:rPr>
        <w:t>тон</w:t>
      </w:r>
      <w:r w:rsidR="0014224E">
        <w:rPr>
          <w:sz w:val="28"/>
          <w:szCs w:val="28"/>
          <w:lang w:val="uk-UA"/>
        </w:rPr>
        <w:t>н</w:t>
      </w:r>
      <w:proofErr w:type="spellEnd"/>
      <w:r>
        <w:rPr>
          <w:sz w:val="28"/>
          <w:szCs w:val="28"/>
          <w:lang w:val="uk-UA"/>
        </w:rPr>
        <w:t xml:space="preserve"> литва; ПАТ «Кременчуцький колісний завод» наростив випуск продукції - на 5,7% більше ; ПАТ «Кременчуцька кондитерська фабрика «РОШЕН» - на 11,3%; ТОВ «Кременчуцький хлібокомбінат» - на 17,4%;                                              ТОВ «</w:t>
      </w:r>
      <w:proofErr w:type="spellStart"/>
      <w:r>
        <w:rPr>
          <w:sz w:val="28"/>
          <w:szCs w:val="28"/>
          <w:lang w:val="uk-UA"/>
        </w:rPr>
        <w:t>Малокохнівський</w:t>
      </w:r>
      <w:proofErr w:type="spellEnd"/>
      <w:r>
        <w:rPr>
          <w:sz w:val="28"/>
          <w:szCs w:val="28"/>
          <w:lang w:val="uk-UA"/>
        </w:rPr>
        <w:t xml:space="preserve"> кар’єр» - в 2,1 р.; ПАТ «Кременчуцьке кар’єроуправління «Кварц» - на 10,0%.</w:t>
      </w:r>
    </w:p>
    <w:p w:rsidR="006677B2" w:rsidRDefault="006677B2" w:rsidP="006677B2">
      <w:pPr>
        <w:jc w:val="center"/>
        <w:rPr>
          <w:b/>
          <w:sz w:val="28"/>
          <w:szCs w:val="28"/>
          <w:shd w:val="clear" w:color="auto" w:fill="FFFFFF"/>
          <w:lang w:val="uk-UA"/>
        </w:rPr>
      </w:pPr>
    </w:p>
    <w:p w:rsidR="006677B2" w:rsidRDefault="006677B2" w:rsidP="006677B2">
      <w:pPr>
        <w:jc w:val="center"/>
        <w:rPr>
          <w:b/>
          <w:sz w:val="28"/>
          <w:szCs w:val="28"/>
          <w:shd w:val="clear" w:color="auto" w:fill="FFFFFF"/>
          <w:lang w:val="uk-UA"/>
        </w:rPr>
      </w:pPr>
      <w:r>
        <w:rPr>
          <w:b/>
          <w:sz w:val="28"/>
          <w:szCs w:val="28"/>
          <w:shd w:val="clear" w:color="auto" w:fill="FFFFFF"/>
          <w:lang w:val="uk-UA"/>
        </w:rPr>
        <w:t xml:space="preserve">Інформація </w:t>
      </w:r>
    </w:p>
    <w:p w:rsidR="006677B2" w:rsidRDefault="006677B2" w:rsidP="006677B2">
      <w:pPr>
        <w:jc w:val="center"/>
        <w:rPr>
          <w:b/>
          <w:sz w:val="28"/>
          <w:szCs w:val="28"/>
          <w:lang w:val="uk-UA"/>
        </w:rPr>
      </w:pPr>
      <w:r>
        <w:rPr>
          <w:b/>
          <w:sz w:val="28"/>
          <w:szCs w:val="28"/>
          <w:shd w:val="clear" w:color="auto" w:fill="FFFFFF"/>
          <w:lang w:val="uk-UA"/>
        </w:rPr>
        <w:t xml:space="preserve">щодо сум збільшення/зменшення надходжень  ПДФО  (контингент)            станом на 01.10.2017  в порівнянні з </w:t>
      </w:r>
      <w:proofErr w:type="spellStart"/>
      <w:r>
        <w:rPr>
          <w:b/>
          <w:sz w:val="28"/>
          <w:szCs w:val="28"/>
          <w:shd w:val="clear" w:color="auto" w:fill="FFFFFF"/>
          <w:lang w:val="uk-UA"/>
        </w:rPr>
        <w:t>в.п.м.р</w:t>
      </w:r>
      <w:proofErr w:type="spellEnd"/>
      <w:r>
        <w:rPr>
          <w:b/>
          <w:sz w:val="28"/>
          <w:szCs w:val="28"/>
          <w:shd w:val="clear" w:color="auto" w:fill="FFFFFF"/>
          <w:lang w:val="uk-UA"/>
        </w:rPr>
        <w:t>.</w:t>
      </w:r>
    </w:p>
    <w:p w:rsidR="006677B2" w:rsidRDefault="006677B2" w:rsidP="006677B2">
      <w:pPr>
        <w:autoSpaceDE w:val="0"/>
        <w:autoSpaceDN w:val="0"/>
        <w:adjustRightInd w:val="0"/>
        <w:spacing w:after="120"/>
        <w:ind w:firstLine="567"/>
        <w:jc w:val="both"/>
        <w:rPr>
          <w:kern w:val="2"/>
          <w:sz w:val="28"/>
          <w:szCs w:val="28"/>
          <w:lang w:val="uk-UA"/>
        </w:rPr>
      </w:pP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r>
      <w:r>
        <w:rPr>
          <w:kern w:val="2"/>
          <w:sz w:val="28"/>
          <w:szCs w:val="28"/>
          <w:lang w:val="uk-UA"/>
        </w:rPr>
        <w:tab/>
        <w:t xml:space="preserve">             </w:t>
      </w:r>
      <w:proofErr w:type="spellStart"/>
      <w:r>
        <w:rPr>
          <w:kern w:val="2"/>
          <w:sz w:val="28"/>
          <w:szCs w:val="28"/>
          <w:lang w:val="uk-UA"/>
        </w:rPr>
        <w:t>тис.грн</w:t>
      </w:r>
      <w:proofErr w:type="spellEnd"/>
      <w:r>
        <w:rPr>
          <w:kern w:val="2"/>
          <w:sz w:val="28"/>
          <w:szCs w:val="28"/>
          <w:lang w:val="uk-UA"/>
        </w:rPr>
        <w:t>.</w:t>
      </w:r>
    </w:p>
    <w:tbl>
      <w:tblPr>
        <w:tblW w:w="9645" w:type="dxa"/>
        <w:tblInd w:w="5" w:type="dxa"/>
        <w:tblLayout w:type="fixed"/>
        <w:tblCellMar>
          <w:left w:w="0" w:type="dxa"/>
          <w:right w:w="0" w:type="dxa"/>
        </w:tblCellMar>
        <w:tblLook w:val="00A0" w:firstRow="1" w:lastRow="0" w:firstColumn="1" w:lastColumn="0" w:noHBand="0" w:noVBand="0"/>
      </w:tblPr>
      <w:tblGrid>
        <w:gridCol w:w="925"/>
        <w:gridCol w:w="5599"/>
        <w:gridCol w:w="1702"/>
        <w:gridCol w:w="1419"/>
      </w:tblGrid>
      <w:tr w:rsidR="006677B2" w:rsidTr="006677B2">
        <w:trPr>
          <w:trHeight w:val="265"/>
        </w:trPr>
        <w:tc>
          <w:tcPr>
            <w:tcW w:w="925" w:type="dxa"/>
            <w:tcBorders>
              <w:top w:val="single" w:sz="4" w:space="0" w:color="000001"/>
              <w:left w:val="single" w:sz="4" w:space="0" w:color="000001"/>
              <w:bottom w:val="single" w:sz="4" w:space="0" w:color="000001"/>
              <w:right w:val="single" w:sz="4" w:space="0" w:color="000001"/>
            </w:tcBorders>
            <w:vAlign w:val="bottom"/>
            <w:hideMark/>
          </w:tcPr>
          <w:p w:rsidR="006677B2" w:rsidRDefault="006677B2">
            <w:pPr>
              <w:autoSpaceDE w:val="0"/>
              <w:autoSpaceDN w:val="0"/>
              <w:adjustRightInd w:val="0"/>
              <w:spacing w:after="120"/>
              <w:rPr>
                <w:kern w:val="2"/>
                <w:sz w:val="28"/>
                <w:szCs w:val="28"/>
                <w:lang w:val="uk-UA"/>
              </w:rPr>
            </w:pPr>
            <w:r>
              <w:rPr>
                <w:kern w:val="2"/>
                <w:sz w:val="28"/>
                <w:szCs w:val="28"/>
                <w:lang w:val="uk-UA"/>
              </w:rPr>
              <w:t>№ з/п</w:t>
            </w:r>
          </w:p>
        </w:tc>
        <w:tc>
          <w:tcPr>
            <w:tcW w:w="5599" w:type="dxa"/>
            <w:tcBorders>
              <w:top w:val="single" w:sz="4" w:space="0" w:color="000001"/>
              <w:left w:val="nil"/>
              <w:bottom w:val="single" w:sz="4" w:space="0" w:color="000001"/>
              <w:right w:val="single" w:sz="4" w:space="0" w:color="000001"/>
            </w:tcBorders>
            <w:vAlign w:val="bottom"/>
            <w:hideMark/>
          </w:tcPr>
          <w:p w:rsidR="006677B2" w:rsidRDefault="006677B2">
            <w:pPr>
              <w:autoSpaceDE w:val="0"/>
              <w:autoSpaceDN w:val="0"/>
              <w:adjustRightInd w:val="0"/>
              <w:spacing w:after="120"/>
              <w:ind w:firstLine="567"/>
              <w:jc w:val="both"/>
              <w:rPr>
                <w:kern w:val="2"/>
                <w:sz w:val="28"/>
                <w:szCs w:val="28"/>
                <w:lang w:val="uk-UA"/>
              </w:rPr>
            </w:pPr>
            <w:r>
              <w:rPr>
                <w:kern w:val="2"/>
                <w:sz w:val="28"/>
                <w:szCs w:val="28"/>
                <w:lang w:val="uk-UA"/>
              </w:rPr>
              <w:t>Назва підприємства</w:t>
            </w:r>
          </w:p>
        </w:tc>
        <w:tc>
          <w:tcPr>
            <w:tcW w:w="1702" w:type="dxa"/>
            <w:tcBorders>
              <w:top w:val="single" w:sz="4" w:space="0" w:color="000001"/>
              <w:left w:val="nil"/>
              <w:bottom w:val="single" w:sz="4" w:space="0" w:color="000001"/>
              <w:right w:val="single" w:sz="4" w:space="0" w:color="000001"/>
            </w:tcBorders>
            <w:vAlign w:val="bottom"/>
            <w:hideMark/>
          </w:tcPr>
          <w:p w:rsidR="006677B2" w:rsidRDefault="006677B2">
            <w:pPr>
              <w:autoSpaceDE w:val="0"/>
              <w:autoSpaceDN w:val="0"/>
              <w:adjustRightInd w:val="0"/>
              <w:spacing w:after="120"/>
              <w:jc w:val="center"/>
              <w:rPr>
                <w:kern w:val="2"/>
                <w:sz w:val="28"/>
                <w:szCs w:val="28"/>
                <w:lang w:val="uk-UA"/>
              </w:rPr>
            </w:pPr>
            <w:r>
              <w:rPr>
                <w:kern w:val="2"/>
                <w:sz w:val="28"/>
                <w:szCs w:val="28"/>
                <w:lang w:val="uk-UA"/>
              </w:rPr>
              <w:t>Сума (+/-)</w:t>
            </w:r>
          </w:p>
        </w:tc>
        <w:tc>
          <w:tcPr>
            <w:tcW w:w="1419" w:type="dxa"/>
            <w:tcBorders>
              <w:top w:val="single" w:sz="4" w:space="0" w:color="000001"/>
              <w:left w:val="nil"/>
              <w:bottom w:val="single" w:sz="4" w:space="0" w:color="000001"/>
              <w:right w:val="single" w:sz="4" w:space="0" w:color="000001"/>
            </w:tcBorders>
            <w:vAlign w:val="bottom"/>
            <w:hideMark/>
          </w:tcPr>
          <w:p w:rsidR="006677B2" w:rsidRDefault="006677B2">
            <w:pPr>
              <w:autoSpaceDE w:val="0"/>
              <w:autoSpaceDN w:val="0"/>
              <w:adjustRightInd w:val="0"/>
              <w:spacing w:after="120"/>
              <w:jc w:val="center"/>
              <w:rPr>
                <w:kern w:val="2"/>
                <w:sz w:val="28"/>
                <w:szCs w:val="28"/>
                <w:lang w:val="uk-UA"/>
              </w:rPr>
            </w:pPr>
            <w:r>
              <w:rPr>
                <w:kern w:val="2"/>
                <w:sz w:val="28"/>
                <w:szCs w:val="28"/>
                <w:lang w:val="uk-UA"/>
              </w:rPr>
              <w:t>%</w:t>
            </w:r>
          </w:p>
        </w:tc>
      </w:tr>
      <w:tr w:rsidR="006677B2" w:rsidTr="006677B2">
        <w:trPr>
          <w:trHeight w:val="454"/>
        </w:trPr>
        <w:tc>
          <w:tcPr>
            <w:tcW w:w="925" w:type="dxa"/>
            <w:tcBorders>
              <w:top w:val="nil"/>
              <w:left w:val="single" w:sz="4" w:space="0" w:color="000001"/>
              <w:bottom w:val="single" w:sz="4" w:space="0" w:color="000001"/>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1.</w:t>
            </w:r>
          </w:p>
        </w:tc>
        <w:tc>
          <w:tcPr>
            <w:tcW w:w="5599" w:type="dxa"/>
            <w:tcBorders>
              <w:top w:val="nil"/>
              <w:left w:val="nil"/>
              <w:bottom w:val="single" w:sz="4" w:space="0" w:color="000001"/>
              <w:right w:val="single" w:sz="4" w:space="0" w:color="000001"/>
            </w:tcBorders>
            <w:vAlign w:val="center"/>
            <w:hideMark/>
          </w:tcPr>
          <w:p w:rsidR="006677B2" w:rsidRDefault="006677B2">
            <w:pPr>
              <w:autoSpaceDE w:val="0"/>
              <w:autoSpaceDN w:val="0"/>
              <w:adjustRightInd w:val="0"/>
              <w:rPr>
                <w:kern w:val="2"/>
                <w:sz w:val="28"/>
                <w:szCs w:val="28"/>
                <w:lang w:val="uk-UA" w:eastAsia="zh-CN" w:bidi="hi-IN"/>
              </w:rPr>
            </w:pPr>
            <w:r>
              <w:rPr>
                <w:kern w:val="2"/>
                <w:sz w:val="28"/>
                <w:szCs w:val="28"/>
                <w:lang w:val="uk-UA" w:eastAsia="zh-CN" w:bidi="hi-IN"/>
              </w:rPr>
              <w:t xml:space="preserve"> ПАТ «КВБЗ»</w:t>
            </w:r>
          </w:p>
        </w:tc>
        <w:tc>
          <w:tcPr>
            <w:tcW w:w="1702"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20 103,9</w:t>
            </w:r>
          </w:p>
        </w:tc>
        <w:tc>
          <w:tcPr>
            <w:tcW w:w="1419"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1,5р.</w:t>
            </w:r>
          </w:p>
        </w:tc>
      </w:tr>
      <w:tr w:rsidR="006677B2" w:rsidTr="006677B2">
        <w:trPr>
          <w:trHeight w:val="454"/>
        </w:trPr>
        <w:tc>
          <w:tcPr>
            <w:tcW w:w="925" w:type="dxa"/>
            <w:tcBorders>
              <w:top w:val="nil"/>
              <w:left w:val="single" w:sz="4" w:space="0" w:color="000001"/>
              <w:bottom w:val="single" w:sz="4" w:space="0" w:color="000001"/>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2.</w:t>
            </w:r>
          </w:p>
        </w:tc>
        <w:tc>
          <w:tcPr>
            <w:tcW w:w="5599" w:type="dxa"/>
            <w:tcBorders>
              <w:top w:val="nil"/>
              <w:left w:val="nil"/>
              <w:bottom w:val="single" w:sz="4" w:space="0" w:color="000001"/>
              <w:right w:val="single" w:sz="4" w:space="0" w:color="000001"/>
            </w:tcBorders>
            <w:vAlign w:val="center"/>
            <w:hideMark/>
          </w:tcPr>
          <w:p w:rsidR="006677B2" w:rsidRDefault="006677B2">
            <w:pPr>
              <w:rPr>
                <w:sz w:val="28"/>
                <w:szCs w:val="28"/>
                <w:lang w:val="uk-UA"/>
              </w:rPr>
            </w:pPr>
            <w:r>
              <w:rPr>
                <w:sz w:val="28"/>
                <w:szCs w:val="28"/>
                <w:lang w:val="uk-UA"/>
              </w:rPr>
              <w:t xml:space="preserve"> ПАТ «КСЗ»</w:t>
            </w:r>
          </w:p>
        </w:tc>
        <w:tc>
          <w:tcPr>
            <w:tcW w:w="1702"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16 500,4</w:t>
            </w:r>
          </w:p>
        </w:tc>
        <w:tc>
          <w:tcPr>
            <w:tcW w:w="1419"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4,0р.</w:t>
            </w:r>
          </w:p>
        </w:tc>
      </w:tr>
      <w:tr w:rsidR="006677B2" w:rsidTr="006677B2">
        <w:trPr>
          <w:trHeight w:val="454"/>
        </w:trPr>
        <w:tc>
          <w:tcPr>
            <w:tcW w:w="925" w:type="dxa"/>
            <w:tcBorders>
              <w:top w:val="nil"/>
              <w:left w:val="single" w:sz="4" w:space="0" w:color="000001"/>
              <w:bottom w:val="single" w:sz="4" w:space="0" w:color="000001"/>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3.</w:t>
            </w:r>
          </w:p>
        </w:tc>
        <w:tc>
          <w:tcPr>
            <w:tcW w:w="5599" w:type="dxa"/>
            <w:tcBorders>
              <w:top w:val="nil"/>
              <w:left w:val="nil"/>
              <w:bottom w:val="single" w:sz="4" w:space="0" w:color="000001"/>
              <w:right w:val="single" w:sz="4" w:space="0" w:color="000001"/>
            </w:tcBorders>
            <w:vAlign w:val="center"/>
            <w:hideMark/>
          </w:tcPr>
          <w:p w:rsidR="006677B2" w:rsidRDefault="006677B2">
            <w:pPr>
              <w:autoSpaceDE w:val="0"/>
              <w:autoSpaceDN w:val="0"/>
              <w:adjustRightInd w:val="0"/>
              <w:rPr>
                <w:kern w:val="2"/>
                <w:sz w:val="28"/>
                <w:szCs w:val="28"/>
                <w:lang w:val="uk-UA" w:eastAsia="zh-CN" w:bidi="hi-IN"/>
              </w:rPr>
            </w:pPr>
            <w:r>
              <w:rPr>
                <w:kern w:val="2"/>
                <w:sz w:val="28"/>
                <w:szCs w:val="28"/>
                <w:lang w:val="uk-UA" w:eastAsia="zh-CN" w:bidi="hi-IN"/>
              </w:rPr>
              <w:t xml:space="preserve"> ПАТ «</w:t>
            </w:r>
            <w:proofErr w:type="spellStart"/>
            <w:r>
              <w:rPr>
                <w:kern w:val="2"/>
                <w:sz w:val="28"/>
                <w:szCs w:val="28"/>
                <w:lang w:val="uk-UA" w:eastAsia="zh-CN" w:bidi="hi-IN"/>
              </w:rPr>
              <w:t>Кредмаш</w:t>
            </w:r>
            <w:proofErr w:type="spellEnd"/>
            <w:r>
              <w:rPr>
                <w:kern w:val="2"/>
                <w:sz w:val="28"/>
                <w:szCs w:val="28"/>
                <w:lang w:val="uk-UA" w:eastAsia="zh-CN" w:bidi="hi-IN"/>
              </w:rPr>
              <w:t>»</w:t>
            </w:r>
          </w:p>
        </w:tc>
        <w:tc>
          <w:tcPr>
            <w:tcW w:w="1702"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12 548,1</w:t>
            </w:r>
          </w:p>
        </w:tc>
        <w:tc>
          <w:tcPr>
            <w:tcW w:w="1419"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1,7р</w:t>
            </w:r>
          </w:p>
        </w:tc>
      </w:tr>
      <w:tr w:rsidR="006677B2" w:rsidTr="006677B2">
        <w:trPr>
          <w:trHeight w:val="454"/>
        </w:trPr>
        <w:tc>
          <w:tcPr>
            <w:tcW w:w="925" w:type="dxa"/>
            <w:tcBorders>
              <w:top w:val="nil"/>
              <w:left w:val="single" w:sz="4" w:space="0" w:color="000001"/>
              <w:bottom w:val="single" w:sz="4" w:space="0" w:color="000001"/>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4.</w:t>
            </w:r>
          </w:p>
        </w:tc>
        <w:tc>
          <w:tcPr>
            <w:tcW w:w="5599" w:type="dxa"/>
            <w:tcBorders>
              <w:top w:val="nil"/>
              <w:left w:val="nil"/>
              <w:bottom w:val="single" w:sz="4" w:space="0" w:color="000001"/>
              <w:right w:val="single" w:sz="4" w:space="0" w:color="000001"/>
            </w:tcBorders>
            <w:vAlign w:val="center"/>
            <w:hideMark/>
          </w:tcPr>
          <w:p w:rsidR="006677B2" w:rsidRDefault="006677B2">
            <w:pPr>
              <w:rPr>
                <w:sz w:val="28"/>
                <w:szCs w:val="28"/>
                <w:lang w:val="uk-UA"/>
              </w:rPr>
            </w:pPr>
            <w:r>
              <w:rPr>
                <w:sz w:val="28"/>
                <w:szCs w:val="28"/>
                <w:lang w:val="uk-UA"/>
              </w:rPr>
              <w:t xml:space="preserve"> ПАТ «Укртатнафта»</w:t>
            </w:r>
          </w:p>
        </w:tc>
        <w:tc>
          <w:tcPr>
            <w:tcW w:w="1702"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6 767,1</w:t>
            </w:r>
          </w:p>
        </w:tc>
        <w:tc>
          <w:tcPr>
            <w:tcW w:w="1419"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10,2</w:t>
            </w:r>
          </w:p>
        </w:tc>
      </w:tr>
      <w:tr w:rsidR="006677B2" w:rsidTr="006677B2">
        <w:trPr>
          <w:trHeight w:val="454"/>
        </w:trPr>
        <w:tc>
          <w:tcPr>
            <w:tcW w:w="925" w:type="dxa"/>
            <w:tcBorders>
              <w:top w:val="nil"/>
              <w:left w:val="single" w:sz="4" w:space="0" w:color="000001"/>
              <w:bottom w:val="single" w:sz="4" w:space="0" w:color="000001"/>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5.</w:t>
            </w:r>
          </w:p>
        </w:tc>
        <w:tc>
          <w:tcPr>
            <w:tcW w:w="5599" w:type="dxa"/>
            <w:tcBorders>
              <w:top w:val="nil"/>
              <w:left w:val="nil"/>
              <w:bottom w:val="single" w:sz="4" w:space="0" w:color="000001"/>
              <w:right w:val="single" w:sz="4" w:space="0" w:color="000001"/>
            </w:tcBorders>
            <w:vAlign w:val="center"/>
            <w:hideMark/>
          </w:tcPr>
          <w:p w:rsidR="006677B2" w:rsidRDefault="006677B2">
            <w:pPr>
              <w:autoSpaceDE w:val="0"/>
              <w:autoSpaceDN w:val="0"/>
              <w:adjustRightInd w:val="0"/>
              <w:ind w:left="209" w:hanging="209"/>
              <w:rPr>
                <w:sz w:val="28"/>
                <w:szCs w:val="28"/>
                <w:lang w:val="uk-UA"/>
              </w:rPr>
            </w:pPr>
            <w:r>
              <w:rPr>
                <w:sz w:val="28"/>
                <w:szCs w:val="28"/>
                <w:lang w:val="uk-UA"/>
              </w:rPr>
              <w:t xml:space="preserve"> ПАТ «АвтоКрАЗ»</w:t>
            </w:r>
          </w:p>
        </w:tc>
        <w:tc>
          <w:tcPr>
            <w:tcW w:w="1702"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5 847,3</w:t>
            </w:r>
          </w:p>
        </w:tc>
        <w:tc>
          <w:tcPr>
            <w:tcW w:w="1419"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33,9</w:t>
            </w:r>
          </w:p>
        </w:tc>
      </w:tr>
      <w:tr w:rsidR="006677B2" w:rsidTr="006677B2">
        <w:trPr>
          <w:trHeight w:val="454"/>
        </w:trPr>
        <w:tc>
          <w:tcPr>
            <w:tcW w:w="925" w:type="dxa"/>
            <w:tcBorders>
              <w:top w:val="nil"/>
              <w:left w:val="single" w:sz="4" w:space="0" w:color="000001"/>
              <w:bottom w:val="single" w:sz="4" w:space="0" w:color="000001"/>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6.</w:t>
            </w:r>
          </w:p>
        </w:tc>
        <w:tc>
          <w:tcPr>
            <w:tcW w:w="5599" w:type="dxa"/>
            <w:tcBorders>
              <w:top w:val="nil"/>
              <w:left w:val="nil"/>
              <w:bottom w:val="single" w:sz="4" w:space="0" w:color="000001"/>
              <w:right w:val="single" w:sz="4" w:space="0" w:color="000001"/>
            </w:tcBorders>
            <w:vAlign w:val="center"/>
            <w:hideMark/>
          </w:tcPr>
          <w:p w:rsidR="006677B2" w:rsidRDefault="006677B2">
            <w:pPr>
              <w:autoSpaceDE w:val="0"/>
              <w:autoSpaceDN w:val="0"/>
              <w:adjustRightInd w:val="0"/>
              <w:rPr>
                <w:kern w:val="2"/>
                <w:sz w:val="28"/>
                <w:szCs w:val="28"/>
                <w:lang w:val="uk-UA" w:eastAsia="zh-CN" w:bidi="hi-IN"/>
              </w:rPr>
            </w:pPr>
            <w:r>
              <w:rPr>
                <w:sz w:val="28"/>
                <w:szCs w:val="28"/>
                <w:lang w:val="uk-UA"/>
              </w:rPr>
              <w:t xml:space="preserve"> ПАТ «Джей Ті Інтернешнл Україна»</w:t>
            </w:r>
          </w:p>
        </w:tc>
        <w:tc>
          <w:tcPr>
            <w:tcW w:w="1702"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2 921,7</w:t>
            </w:r>
          </w:p>
        </w:tc>
        <w:tc>
          <w:tcPr>
            <w:tcW w:w="1419" w:type="dxa"/>
            <w:tcBorders>
              <w:top w:val="nil"/>
              <w:left w:val="nil"/>
              <w:bottom w:val="single" w:sz="4" w:space="0" w:color="000001"/>
              <w:right w:val="single" w:sz="4" w:space="0" w:color="000001"/>
            </w:tcBorders>
            <w:vAlign w:val="bottom"/>
            <w:hideMark/>
          </w:tcPr>
          <w:p w:rsidR="006677B2" w:rsidRDefault="006677B2">
            <w:pPr>
              <w:jc w:val="center"/>
              <w:rPr>
                <w:sz w:val="28"/>
                <w:szCs w:val="28"/>
                <w:lang w:val="uk-UA"/>
              </w:rPr>
            </w:pPr>
            <w:r>
              <w:rPr>
                <w:sz w:val="28"/>
                <w:szCs w:val="28"/>
                <w:lang w:val="uk-UA"/>
              </w:rPr>
              <w:t>14,6</w:t>
            </w:r>
          </w:p>
        </w:tc>
      </w:tr>
      <w:tr w:rsidR="006677B2" w:rsidTr="006677B2">
        <w:trPr>
          <w:trHeight w:val="454"/>
        </w:trPr>
        <w:tc>
          <w:tcPr>
            <w:tcW w:w="925" w:type="dxa"/>
            <w:tcBorders>
              <w:top w:val="nil"/>
              <w:left w:val="single" w:sz="4" w:space="0" w:color="000001"/>
              <w:bottom w:val="single" w:sz="4" w:space="0" w:color="auto"/>
              <w:right w:val="single" w:sz="4" w:space="0" w:color="000001"/>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7.</w:t>
            </w:r>
          </w:p>
        </w:tc>
        <w:tc>
          <w:tcPr>
            <w:tcW w:w="5599" w:type="dxa"/>
            <w:tcBorders>
              <w:top w:val="nil"/>
              <w:left w:val="nil"/>
              <w:bottom w:val="single" w:sz="4" w:space="0" w:color="auto"/>
              <w:right w:val="single" w:sz="4" w:space="0" w:color="000001"/>
            </w:tcBorders>
            <w:vAlign w:val="center"/>
            <w:hideMark/>
          </w:tcPr>
          <w:p w:rsidR="006677B2" w:rsidRDefault="006677B2">
            <w:pPr>
              <w:autoSpaceDE w:val="0"/>
              <w:autoSpaceDN w:val="0"/>
              <w:adjustRightInd w:val="0"/>
              <w:rPr>
                <w:kern w:val="2"/>
                <w:sz w:val="28"/>
                <w:szCs w:val="28"/>
                <w:lang w:val="uk-UA" w:eastAsia="zh-CN" w:bidi="hi-IN"/>
              </w:rPr>
            </w:pPr>
            <w:r>
              <w:rPr>
                <w:sz w:val="28"/>
                <w:szCs w:val="28"/>
                <w:lang w:val="uk-UA"/>
              </w:rPr>
              <w:t xml:space="preserve"> ПАТ «</w:t>
            </w:r>
            <w:proofErr w:type="spellStart"/>
            <w:r>
              <w:rPr>
                <w:sz w:val="28"/>
                <w:szCs w:val="28"/>
                <w:lang w:val="uk-UA"/>
              </w:rPr>
              <w:t>КрКЗ</w:t>
            </w:r>
            <w:proofErr w:type="spellEnd"/>
            <w:r>
              <w:rPr>
                <w:sz w:val="28"/>
                <w:szCs w:val="28"/>
                <w:lang w:val="uk-UA"/>
              </w:rPr>
              <w:t>»</w:t>
            </w:r>
          </w:p>
        </w:tc>
        <w:tc>
          <w:tcPr>
            <w:tcW w:w="1702" w:type="dxa"/>
            <w:tcBorders>
              <w:top w:val="nil"/>
              <w:left w:val="nil"/>
              <w:bottom w:val="single" w:sz="4" w:space="0" w:color="auto"/>
              <w:right w:val="single" w:sz="4" w:space="0" w:color="000001"/>
            </w:tcBorders>
            <w:vAlign w:val="bottom"/>
            <w:hideMark/>
          </w:tcPr>
          <w:p w:rsidR="006677B2" w:rsidRDefault="006677B2">
            <w:pPr>
              <w:jc w:val="center"/>
              <w:rPr>
                <w:sz w:val="28"/>
                <w:szCs w:val="28"/>
                <w:lang w:val="uk-UA"/>
              </w:rPr>
            </w:pPr>
            <w:r>
              <w:rPr>
                <w:sz w:val="28"/>
                <w:szCs w:val="28"/>
                <w:lang w:val="uk-UA"/>
              </w:rPr>
              <w:t>2 610,5</w:t>
            </w:r>
          </w:p>
        </w:tc>
        <w:tc>
          <w:tcPr>
            <w:tcW w:w="1419" w:type="dxa"/>
            <w:tcBorders>
              <w:top w:val="nil"/>
              <w:left w:val="nil"/>
              <w:bottom w:val="single" w:sz="4" w:space="0" w:color="auto"/>
              <w:right w:val="single" w:sz="4" w:space="0" w:color="000001"/>
            </w:tcBorders>
            <w:vAlign w:val="bottom"/>
            <w:hideMark/>
          </w:tcPr>
          <w:p w:rsidR="006677B2" w:rsidRDefault="006677B2">
            <w:pPr>
              <w:jc w:val="center"/>
              <w:rPr>
                <w:sz w:val="28"/>
                <w:szCs w:val="28"/>
                <w:lang w:val="uk-UA"/>
              </w:rPr>
            </w:pPr>
            <w:r>
              <w:rPr>
                <w:sz w:val="28"/>
                <w:szCs w:val="28"/>
                <w:lang w:val="uk-UA"/>
              </w:rPr>
              <w:t>23,3</w:t>
            </w:r>
          </w:p>
        </w:tc>
      </w:tr>
      <w:tr w:rsidR="006677B2" w:rsidTr="006677B2">
        <w:trPr>
          <w:trHeight w:val="454"/>
        </w:trPr>
        <w:tc>
          <w:tcPr>
            <w:tcW w:w="925" w:type="dxa"/>
            <w:tcBorders>
              <w:top w:val="single" w:sz="4" w:space="0" w:color="auto"/>
              <w:left w:val="single" w:sz="4" w:space="0" w:color="auto"/>
              <w:bottom w:val="single" w:sz="4" w:space="0" w:color="auto"/>
              <w:right w:val="single" w:sz="4" w:space="0" w:color="auto"/>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8.</w:t>
            </w:r>
          </w:p>
        </w:tc>
        <w:tc>
          <w:tcPr>
            <w:tcW w:w="5599" w:type="dxa"/>
            <w:tcBorders>
              <w:top w:val="single" w:sz="4" w:space="0" w:color="auto"/>
              <w:left w:val="single" w:sz="4" w:space="0" w:color="auto"/>
              <w:bottom w:val="single" w:sz="4" w:space="0" w:color="auto"/>
              <w:right w:val="single" w:sz="4" w:space="0" w:color="auto"/>
            </w:tcBorders>
            <w:vAlign w:val="center"/>
            <w:hideMark/>
          </w:tcPr>
          <w:p w:rsidR="006677B2" w:rsidRDefault="006677B2">
            <w:pPr>
              <w:autoSpaceDE w:val="0"/>
              <w:autoSpaceDN w:val="0"/>
              <w:adjustRightInd w:val="0"/>
              <w:rPr>
                <w:kern w:val="2"/>
                <w:sz w:val="28"/>
                <w:szCs w:val="28"/>
                <w:lang w:val="uk-UA" w:eastAsia="zh-CN" w:bidi="hi-IN"/>
              </w:rPr>
            </w:pPr>
            <w:r>
              <w:rPr>
                <w:sz w:val="28"/>
                <w:szCs w:val="28"/>
                <w:lang w:val="uk-UA"/>
              </w:rPr>
              <w:t xml:space="preserve"> ПАТ «КЗТВ»</w:t>
            </w:r>
          </w:p>
        </w:tc>
        <w:tc>
          <w:tcPr>
            <w:tcW w:w="1702" w:type="dxa"/>
            <w:tcBorders>
              <w:top w:val="single" w:sz="4" w:space="0" w:color="auto"/>
              <w:left w:val="single" w:sz="4" w:space="0" w:color="auto"/>
              <w:bottom w:val="single" w:sz="4" w:space="0" w:color="auto"/>
              <w:right w:val="single" w:sz="4" w:space="0" w:color="auto"/>
            </w:tcBorders>
            <w:vAlign w:val="bottom"/>
            <w:hideMark/>
          </w:tcPr>
          <w:p w:rsidR="006677B2" w:rsidRDefault="006677B2">
            <w:pPr>
              <w:jc w:val="center"/>
              <w:rPr>
                <w:sz w:val="28"/>
                <w:szCs w:val="28"/>
                <w:lang w:val="uk-UA"/>
              </w:rPr>
            </w:pPr>
            <w:r>
              <w:rPr>
                <w:sz w:val="28"/>
                <w:szCs w:val="28"/>
                <w:lang w:val="uk-UA"/>
              </w:rPr>
              <w:t>1 861,4</w:t>
            </w:r>
          </w:p>
        </w:tc>
        <w:tc>
          <w:tcPr>
            <w:tcW w:w="1419" w:type="dxa"/>
            <w:tcBorders>
              <w:top w:val="single" w:sz="4" w:space="0" w:color="auto"/>
              <w:left w:val="single" w:sz="4" w:space="0" w:color="auto"/>
              <w:bottom w:val="single" w:sz="4" w:space="0" w:color="auto"/>
              <w:right w:val="single" w:sz="4" w:space="0" w:color="auto"/>
            </w:tcBorders>
            <w:vAlign w:val="bottom"/>
            <w:hideMark/>
          </w:tcPr>
          <w:p w:rsidR="006677B2" w:rsidRDefault="006677B2">
            <w:pPr>
              <w:jc w:val="center"/>
              <w:rPr>
                <w:sz w:val="28"/>
                <w:szCs w:val="28"/>
                <w:lang w:val="uk-UA"/>
              </w:rPr>
            </w:pPr>
            <w:r>
              <w:rPr>
                <w:sz w:val="28"/>
                <w:szCs w:val="28"/>
                <w:lang w:val="uk-UA"/>
              </w:rPr>
              <w:t>24,4</w:t>
            </w:r>
          </w:p>
        </w:tc>
      </w:tr>
      <w:tr w:rsidR="006677B2" w:rsidTr="006677B2">
        <w:trPr>
          <w:trHeight w:val="454"/>
        </w:trPr>
        <w:tc>
          <w:tcPr>
            <w:tcW w:w="925" w:type="dxa"/>
            <w:tcBorders>
              <w:top w:val="single" w:sz="4" w:space="0" w:color="auto"/>
              <w:left w:val="single" w:sz="4" w:space="0" w:color="auto"/>
              <w:bottom w:val="single" w:sz="4" w:space="0" w:color="auto"/>
              <w:right w:val="single" w:sz="4" w:space="0" w:color="auto"/>
            </w:tcBorders>
            <w:vAlign w:val="center"/>
            <w:hideMark/>
          </w:tcPr>
          <w:p w:rsidR="006677B2" w:rsidRDefault="006677B2">
            <w:pPr>
              <w:autoSpaceDE w:val="0"/>
              <w:autoSpaceDN w:val="0"/>
              <w:adjustRightInd w:val="0"/>
              <w:jc w:val="center"/>
              <w:rPr>
                <w:kern w:val="2"/>
                <w:sz w:val="28"/>
                <w:szCs w:val="28"/>
                <w:lang w:val="uk-UA" w:eastAsia="zh-CN" w:bidi="hi-IN"/>
              </w:rPr>
            </w:pPr>
            <w:r>
              <w:rPr>
                <w:kern w:val="2"/>
                <w:sz w:val="28"/>
                <w:szCs w:val="28"/>
                <w:lang w:val="uk-UA" w:eastAsia="zh-CN" w:bidi="hi-IN"/>
              </w:rPr>
              <w:t>9.</w:t>
            </w:r>
          </w:p>
        </w:tc>
        <w:tc>
          <w:tcPr>
            <w:tcW w:w="5599" w:type="dxa"/>
            <w:tcBorders>
              <w:top w:val="single" w:sz="4" w:space="0" w:color="auto"/>
              <w:left w:val="single" w:sz="4" w:space="0" w:color="auto"/>
              <w:bottom w:val="single" w:sz="4" w:space="0" w:color="auto"/>
              <w:right w:val="single" w:sz="4" w:space="0" w:color="auto"/>
            </w:tcBorders>
            <w:vAlign w:val="center"/>
            <w:hideMark/>
          </w:tcPr>
          <w:p w:rsidR="006677B2" w:rsidRDefault="006677B2">
            <w:pPr>
              <w:autoSpaceDE w:val="0"/>
              <w:autoSpaceDN w:val="0"/>
              <w:adjustRightInd w:val="0"/>
              <w:rPr>
                <w:kern w:val="2"/>
                <w:sz w:val="28"/>
                <w:szCs w:val="28"/>
                <w:lang w:val="uk-UA" w:eastAsia="zh-CN" w:bidi="hi-IN"/>
              </w:rPr>
            </w:pPr>
            <w:r>
              <w:rPr>
                <w:sz w:val="28"/>
                <w:szCs w:val="28"/>
                <w:lang w:val="uk-UA"/>
              </w:rPr>
              <w:t xml:space="preserve"> ПАТ ККФ «Рошен»</w:t>
            </w:r>
          </w:p>
        </w:tc>
        <w:tc>
          <w:tcPr>
            <w:tcW w:w="1702" w:type="dxa"/>
            <w:tcBorders>
              <w:top w:val="single" w:sz="4" w:space="0" w:color="auto"/>
              <w:left w:val="single" w:sz="4" w:space="0" w:color="auto"/>
              <w:bottom w:val="single" w:sz="4" w:space="0" w:color="auto"/>
              <w:right w:val="single" w:sz="4" w:space="0" w:color="auto"/>
            </w:tcBorders>
            <w:vAlign w:val="bottom"/>
            <w:hideMark/>
          </w:tcPr>
          <w:p w:rsidR="006677B2" w:rsidRDefault="006677B2">
            <w:pPr>
              <w:jc w:val="center"/>
              <w:rPr>
                <w:sz w:val="28"/>
                <w:szCs w:val="28"/>
                <w:lang w:val="uk-UA"/>
              </w:rPr>
            </w:pPr>
            <w:r>
              <w:rPr>
                <w:sz w:val="28"/>
                <w:szCs w:val="28"/>
                <w:lang w:val="uk-UA"/>
              </w:rPr>
              <w:t>1 767,3</w:t>
            </w:r>
          </w:p>
        </w:tc>
        <w:tc>
          <w:tcPr>
            <w:tcW w:w="1419" w:type="dxa"/>
            <w:tcBorders>
              <w:top w:val="single" w:sz="4" w:space="0" w:color="auto"/>
              <w:left w:val="single" w:sz="4" w:space="0" w:color="auto"/>
              <w:bottom w:val="single" w:sz="4" w:space="0" w:color="auto"/>
              <w:right w:val="single" w:sz="4" w:space="0" w:color="auto"/>
            </w:tcBorders>
            <w:vAlign w:val="bottom"/>
            <w:hideMark/>
          </w:tcPr>
          <w:p w:rsidR="006677B2" w:rsidRDefault="006677B2">
            <w:pPr>
              <w:jc w:val="center"/>
              <w:rPr>
                <w:sz w:val="28"/>
                <w:szCs w:val="28"/>
                <w:lang w:val="uk-UA"/>
              </w:rPr>
            </w:pPr>
            <w:r>
              <w:rPr>
                <w:sz w:val="28"/>
                <w:szCs w:val="28"/>
                <w:lang w:val="uk-UA"/>
              </w:rPr>
              <w:t>18,2</w:t>
            </w:r>
          </w:p>
        </w:tc>
      </w:tr>
    </w:tbl>
    <w:p w:rsidR="006677B2" w:rsidRDefault="006677B2" w:rsidP="006677B2">
      <w:pPr>
        <w:ind w:left="720"/>
        <w:contextualSpacing/>
        <w:jc w:val="both"/>
        <w:rPr>
          <w:color w:val="FF0000"/>
          <w:spacing w:val="1"/>
          <w:sz w:val="28"/>
          <w:szCs w:val="28"/>
          <w:lang w:val="uk-UA"/>
        </w:rPr>
      </w:pPr>
    </w:p>
    <w:p w:rsidR="006677B2" w:rsidRDefault="006677B2" w:rsidP="006677B2">
      <w:pPr>
        <w:ind w:firstLine="696"/>
        <w:jc w:val="both"/>
        <w:rPr>
          <w:sz w:val="28"/>
          <w:szCs w:val="28"/>
          <w:lang w:val="uk-UA"/>
        </w:rPr>
      </w:pPr>
      <w:r>
        <w:rPr>
          <w:sz w:val="28"/>
          <w:szCs w:val="28"/>
          <w:lang w:val="uk-UA"/>
        </w:rPr>
        <w:t xml:space="preserve">Станом на 01.09.2017  заборгованість по заробітній платі по активних підприємствах міста склала 1 112,7 тис. грн. (статистика), в </w:t>
      </w:r>
      <w:proofErr w:type="spellStart"/>
      <w:r>
        <w:rPr>
          <w:sz w:val="28"/>
          <w:szCs w:val="28"/>
          <w:lang w:val="uk-UA"/>
        </w:rPr>
        <w:t>т.ч</w:t>
      </w:r>
      <w:proofErr w:type="spellEnd"/>
      <w:r>
        <w:rPr>
          <w:sz w:val="28"/>
          <w:szCs w:val="28"/>
          <w:lang w:val="uk-UA"/>
        </w:rPr>
        <w:t>.:                       ДВНЗ «Кременчуцький коледж транспортної інфраструктури» -                                   1 112,7 тис. грн.</w:t>
      </w:r>
    </w:p>
    <w:p w:rsidR="006677B2" w:rsidRDefault="006677B2" w:rsidP="006677B2">
      <w:pPr>
        <w:autoSpaceDE w:val="0"/>
        <w:autoSpaceDN w:val="0"/>
        <w:adjustRightInd w:val="0"/>
        <w:spacing w:after="120"/>
        <w:ind w:firstLine="567"/>
        <w:jc w:val="both"/>
        <w:rPr>
          <w:kern w:val="2"/>
          <w:sz w:val="28"/>
          <w:szCs w:val="28"/>
          <w:lang w:val="uk-UA"/>
        </w:rPr>
      </w:pPr>
      <w:r>
        <w:rPr>
          <w:kern w:val="2"/>
          <w:sz w:val="28"/>
          <w:szCs w:val="28"/>
          <w:lang w:val="uk-UA"/>
        </w:rPr>
        <w:t xml:space="preserve">Згідно з моніторингом станом на 01.10.2017 очікувана заборгованість по зарплаті по активних підприємствах  міста складає  -  </w:t>
      </w:r>
      <w:r>
        <w:rPr>
          <w:kern w:val="2"/>
          <w:sz w:val="28"/>
          <w:szCs w:val="28"/>
        </w:rPr>
        <w:t xml:space="preserve">1 092,1 </w:t>
      </w:r>
      <w:r>
        <w:rPr>
          <w:kern w:val="2"/>
          <w:sz w:val="28"/>
          <w:szCs w:val="28"/>
          <w:lang w:val="uk-UA"/>
        </w:rPr>
        <w:t xml:space="preserve">тис. грн., в </w:t>
      </w:r>
      <w:proofErr w:type="spellStart"/>
      <w:r>
        <w:rPr>
          <w:kern w:val="2"/>
          <w:sz w:val="28"/>
          <w:szCs w:val="28"/>
          <w:lang w:val="uk-UA"/>
        </w:rPr>
        <w:t>т.ч</w:t>
      </w:r>
      <w:proofErr w:type="spellEnd"/>
      <w:r>
        <w:rPr>
          <w:kern w:val="2"/>
          <w:sz w:val="28"/>
          <w:szCs w:val="28"/>
          <w:lang w:val="uk-UA"/>
        </w:rPr>
        <w:t xml:space="preserve">.:  ДВНЗ «Кременчуцький коледж транспортної інфраструктури» -                           </w:t>
      </w:r>
      <w:r>
        <w:rPr>
          <w:kern w:val="2"/>
          <w:sz w:val="28"/>
          <w:szCs w:val="28"/>
        </w:rPr>
        <w:t xml:space="preserve">1 092,1 </w:t>
      </w:r>
      <w:r>
        <w:rPr>
          <w:kern w:val="2"/>
          <w:sz w:val="28"/>
          <w:szCs w:val="28"/>
          <w:lang w:val="uk-UA"/>
        </w:rPr>
        <w:t>тис. грн.</w:t>
      </w:r>
    </w:p>
    <w:p w:rsidR="006677B2" w:rsidRDefault="006677B2" w:rsidP="006677B2">
      <w:pPr>
        <w:ind w:firstLine="696"/>
        <w:jc w:val="both"/>
        <w:rPr>
          <w:sz w:val="28"/>
          <w:szCs w:val="28"/>
          <w:lang w:val="uk-UA"/>
        </w:rPr>
      </w:pPr>
    </w:p>
    <w:p w:rsidR="006677B2" w:rsidRDefault="006677B2" w:rsidP="006677B2">
      <w:pPr>
        <w:keepNext/>
        <w:jc w:val="center"/>
        <w:outlineLvl w:val="0"/>
        <w:rPr>
          <w:b/>
          <w:bCs/>
          <w:iCs/>
          <w:sz w:val="28"/>
          <w:szCs w:val="28"/>
          <w:lang w:val="uk-UA"/>
        </w:rPr>
      </w:pPr>
      <w:r>
        <w:rPr>
          <w:b/>
          <w:bCs/>
          <w:iCs/>
          <w:sz w:val="28"/>
          <w:szCs w:val="28"/>
          <w:lang w:val="uk-UA"/>
        </w:rPr>
        <w:t>Спеціальний фонд</w:t>
      </w:r>
    </w:p>
    <w:p w:rsidR="006677B2" w:rsidRDefault="006677B2" w:rsidP="006677B2">
      <w:pPr>
        <w:autoSpaceDE w:val="0"/>
        <w:autoSpaceDN w:val="0"/>
        <w:adjustRightInd w:val="0"/>
        <w:spacing w:after="120"/>
        <w:ind w:firstLine="567"/>
        <w:jc w:val="both"/>
        <w:rPr>
          <w:kern w:val="2"/>
          <w:sz w:val="28"/>
          <w:szCs w:val="28"/>
          <w:lang w:val="uk-UA"/>
        </w:rPr>
      </w:pPr>
      <w:r>
        <w:rPr>
          <w:b/>
          <w:kern w:val="2"/>
          <w:sz w:val="28"/>
          <w:szCs w:val="28"/>
          <w:lang w:val="uk-UA"/>
        </w:rPr>
        <w:t>По</w:t>
      </w:r>
      <w:r>
        <w:rPr>
          <w:kern w:val="2"/>
          <w:sz w:val="28"/>
          <w:szCs w:val="28"/>
          <w:lang w:val="uk-UA"/>
        </w:rPr>
        <w:t xml:space="preserve"> </w:t>
      </w:r>
      <w:r>
        <w:rPr>
          <w:b/>
          <w:kern w:val="2"/>
          <w:sz w:val="28"/>
          <w:szCs w:val="28"/>
          <w:lang w:val="uk-UA"/>
        </w:rPr>
        <w:t xml:space="preserve">спеціальному фонду </w:t>
      </w:r>
      <w:r>
        <w:rPr>
          <w:kern w:val="2"/>
          <w:sz w:val="28"/>
          <w:szCs w:val="28"/>
          <w:lang w:val="uk-UA"/>
        </w:rPr>
        <w:t>при уточненому затвердженому річному  плані  на 2017 рік (без офіційних трансфертів)  – 50 067,462 тис. грн. фактично надійшло – 50 052,290  тис. грн., виконання до річного плану  склало 100,0%; по офіційних трансфертах виконання річних планових показників забезпечено на 79,7%  при плані 32 018,451 тис. грн. фактично надійшло                         25 518,451 тис. грн., та на звітну дату виконання склало – 100,0% ( план 25 518,451 тис. грн.).</w:t>
      </w:r>
    </w:p>
    <w:p w:rsidR="006677B2" w:rsidRDefault="006677B2" w:rsidP="006677B2">
      <w:pPr>
        <w:ind w:firstLine="709"/>
        <w:jc w:val="right"/>
        <w:rPr>
          <w:iCs/>
          <w:sz w:val="28"/>
          <w:szCs w:val="28"/>
        </w:rPr>
      </w:pPr>
      <w:r>
        <w:rPr>
          <w:noProof/>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412750</wp:posOffset>
            </wp:positionV>
            <wp:extent cx="6051550" cy="3957955"/>
            <wp:effectExtent l="5715" t="12700" r="10160" b="10795"/>
            <wp:wrapSquare wrapText="bothSides"/>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iCs/>
          <w:sz w:val="28"/>
          <w:szCs w:val="28"/>
          <w:lang w:val="uk-UA"/>
        </w:rPr>
        <w:t>тис.</w:t>
      </w:r>
      <w:r>
        <w:rPr>
          <w:iCs/>
          <w:sz w:val="28"/>
          <w:szCs w:val="28"/>
        </w:rPr>
        <w:t>грн.</w:t>
      </w:r>
    </w:p>
    <w:p w:rsidR="006677B2" w:rsidRDefault="006677B2" w:rsidP="006677B2">
      <w:pPr>
        <w:ind w:left="-360" w:firstLine="360"/>
        <w:jc w:val="both"/>
        <w:rPr>
          <w:iCs/>
          <w:color w:val="FF0000"/>
          <w:sz w:val="28"/>
          <w:szCs w:val="28"/>
          <w:lang w:val="uk-UA"/>
        </w:rPr>
      </w:pPr>
    </w:p>
    <w:p w:rsidR="006677B2" w:rsidRDefault="006677B2" w:rsidP="006677B2">
      <w:pPr>
        <w:ind w:firstLine="709"/>
        <w:jc w:val="both"/>
        <w:rPr>
          <w:sz w:val="28"/>
          <w:szCs w:val="28"/>
          <w:lang w:val="uk-UA"/>
        </w:rPr>
      </w:pPr>
      <w:r>
        <w:rPr>
          <w:sz w:val="28"/>
          <w:szCs w:val="28"/>
          <w:lang w:val="uk-UA"/>
        </w:rPr>
        <w:t>Станом на 01.10.2017 до бюджету розвитку  фактично надійшло   -  5 887,016  тис. грн. при річному плані 6 300,100  тис. грн., виконання до річного плану склало 93,4% та  на звітну дату 135,9% /+/ 1 554,941  тис. грн. (план  4 332,075 тис. грн.), в тому числі:</w:t>
      </w:r>
    </w:p>
    <w:p w:rsidR="006677B2" w:rsidRDefault="006677B2" w:rsidP="006677B2">
      <w:pPr>
        <w:ind w:firstLine="709"/>
        <w:jc w:val="both"/>
        <w:rPr>
          <w:sz w:val="28"/>
          <w:szCs w:val="28"/>
          <w:lang w:val="uk-UA"/>
        </w:rPr>
      </w:pPr>
      <w:r>
        <w:rPr>
          <w:sz w:val="28"/>
          <w:szCs w:val="28"/>
          <w:lang w:val="uk-UA"/>
        </w:rPr>
        <w:t>- по надходженню коштів пайової участі у розвитку інфраструктури населеного пункту виконання до річного плану забезпечено на 144,1% при плані  3 100,000 тис. грн. фактично отримано  4 468,390 тис. грн. та на звітну дату – 147,7%/+/ 1 443,390 тис. грн. (план 3 025,000 тис. грн.);</w:t>
      </w:r>
    </w:p>
    <w:p w:rsidR="006677B2" w:rsidRDefault="006677B2" w:rsidP="006677B2">
      <w:pPr>
        <w:ind w:firstLine="709"/>
        <w:jc w:val="both"/>
        <w:rPr>
          <w:sz w:val="28"/>
          <w:szCs w:val="28"/>
          <w:lang w:val="uk-UA"/>
        </w:rPr>
      </w:pPr>
      <w:r>
        <w:rPr>
          <w:sz w:val="28"/>
          <w:szCs w:val="28"/>
          <w:lang w:val="uk-UA"/>
        </w:rPr>
        <w:t>- по надходженню коштів від продажу землі  виконання до річного плану склало – 12,2% при плані  3 200,100 тис. грн. фактично отримано                        389,992  тис. грн. та на звітну дату виконання забезпечено на 29,8% /-/                917,083 тис. грн. (план 1 307,075 тис. грн.). При плануванні даного джерела доходів  були враховані пропозиції управління земельних ресурсів виконавчого комітету Кременчуцької міської ради Полтавської області. З пояснень щодо невиконання: неможливість прогнозування надходжень, оскільки даний показник обумовлюється виключно бажанням землекористувача та загальною фінансовою ситуацією (зростання інфляції, відсутність кредитування, зниження платоспроможності покупців, збільшенням вартості земельних ділянок, що призводить до зменшення укладених договорів).</w:t>
      </w:r>
    </w:p>
    <w:p w:rsidR="006677B2" w:rsidRDefault="006677B2" w:rsidP="006677B2">
      <w:pPr>
        <w:ind w:firstLine="709"/>
        <w:jc w:val="both"/>
        <w:rPr>
          <w:sz w:val="28"/>
          <w:szCs w:val="28"/>
          <w:lang w:val="uk-UA"/>
        </w:rPr>
      </w:pPr>
      <w:r>
        <w:rPr>
          <w:sz w:val="28"/>
          <w:szCs w:val="28"/>
          <w:lang w:val="uk-UA"/>
        </w:rPr>
        <w:t>Крім того, без плану надійшли кошти від відчуження майна, що перебуває в комунальній власності, на суму 1 028,634 тис. грн.</w:t>
      </w:r>
    </w:p>
    <w:p w:rsidR="006677B2" w:rsidRDefault="006677B2" w:rsidP="006677B2">
      <w:pPr>
        <w:ind w:firstLine="709"/>
        <w:jc w:val="both"/>
        <w:rPr>
          <w:iCs/>
          <w:sz w:val="28"/>
          <w:szCs w:val="28"/>
          <w:lang w:val="uk-UA"/>
        </w:rPr>
      </w:pPr>
      <w:r>
        <w:rPr>
          <w:sz w:val="28"/>
          <w:szCs w:val="28"/>
          <w:lang w:val="uk-UA"/>
        </w:rPr>
        <w:t>Враховуючи те, що по надходженню коштів від продажу землі план не виконується, будуть внесені відповідні зміни до показників бюджету розвитку на зменшення планових показників по продажу землі та збільшення планів по надходженню коштів пайової участі у розвитку інфраструктури населеного пункту та коштів від відчуження майна.</w:t>
      </w:r>
    </w:p>
    <w:p w:rsidR="006677B2" w:rsidRDefault="006677B2" w:rsidP="006677B2">
      <w:pPr>
        <w:ind w:firstLine="709"/>
        <w:jc w:val="both"/>
        <w:rPr>
          <w:sz w:val="28"/>
          <w:szCs w:val="28"/>
          <w:lang w:val="uk-UA"/>
        </w:rPr>
      </w:pPr>
      <w:r>
        <w:rPr>
          <w:sz w:val="28"/>
          <w:szCs w:val="28"/>
          <w:lang w:val="uk-UA"/>
        </w:rPr>
        <w:lastRenderedPageBreak/>
        <w:t>По екологічному податку виконання до уточненого  річного плану склало 72,7% при плані 6 827,600 тис. грн. фактично надійшло 4 965,197 тис. грн. Виконання плану на звітну дату забезпечено на 100,9% (план                                    4 923,200 тис. грн.), понад план отримано /+/41,997 тис. грн.</w:t>
      </w:r>
    </w:p>
    <w:p w:rsidR="006677B2" w:rsidRDefault="006677B2" w:rsidP="006677B2">
      <w:pPr>
        <w:ind w:firstLine="709"/>
        <w:jc w:val="both"/>
        <w:rPr>
          <w:sz w:val="28"/>
          <w:szCs w:val="28"/>
          <w:lang w:val="uk-UA"/>
        </w:rPr>
      </w:pPr>
      <w:r>
        <w:rPr>
          <w:sz w:val="28"/>
          <w:szCs w:val="28"/>
          <w:lang w:val="uk-UA"/>
        </w:rPr>
        <w:t>В місті постійно проводяться відповідні заходи щодо наповнення доходної частини міського бюджету.</w:t>
      </w:r>
    </w:p>
    <w:p w:rsidR="006677B2" w:rsidRDefault="006677B2" w:rsidP="006677B2">
      <w:pPr>
        <w:ind w:firstLine="709"/>
        <w:jc w:val="both"/>
        <w:rPr>
          <w:sz w:val="28"/>
          <w:szCs w:val="28"/>
          <w:lang w:val="uk-UA"/>
        </w:rPr>
      </w:pPr>
      <w:r>
        <w:rPr>
          <w:sz w:val="28"/>
          <w:szCs w:val="28"/>
          <w:lang w:val="uk-UA"/>
        </w:rPr>
        <w:t>Станом на 01.10.2017 проведено 5 засідань робочої групи при виконавчому комітету Кременчуцької міської ради Полтавської області з питань забезпечення своєчасності і повноти сплати податків та погашення заборгованості з виплати заробітної плати, пенсій, стипендій та інших соціальних виплат, на якій заслухано 10 керівників підприємств.</w:t>
      </w:r>
    </w:p>
    <w:p w:rsidR="006677B2" w:rsidRDefault="006677B2" w:rsidP="006677B2">
      <w:pPr>
        <w:ind w:firstLine="720"/>
        <w:jc w:val="both"/>
        <w:rPr>
          <w:sz w:val="28"/>
          <w:szCs w:val="28"/>
          <w:lang w:val="uk-UA"/>
        </w:rPr>
      </w:pPr>
      <w:r>
        <w:rPr>
          <w:sz w:val="28"/>
          <w:szCs w:val="28"/>
          <w:lang w:val="uk-UA"/>
        </w:rPr>
        <w:t>Відповідно до інформації КОДПІ</w:t>
      </w:r>
      <w:r>
        <w:rPr>
          <w:sz w:val="24"/>
          <w:szCs w:val="24"/>
          <w:lang w:val="uk-UA"/>
        </w:rPr>
        <w:t xml:space="preserve"> </w:t>
      </w:r>
      <w:r>
        <w:rPr>
          <w:sz w:val="28"/>
          <w:szCs w:val="28"/>
          <w:lang w:val="uk-UA"/>
        </w:rPr>
        <w:t>ГУ ДФС у Полтавській області                    за 9 місяців 2017 року членами групи по легалізації виплати заробітної плати та зайнятості населення  м. Кременчука за участю працівників Кременчуцької ОДПІ ГУ ДФС у Полтавській області, проведено 27 спільних рейдів за результатами яких:  перевірено 679 суб’єктів  господарювання. Встановлено порушення у 145 суб’єктів господарювання, виявлено 210 неоформлених найманих працівників.</w:t>
      </w:r>
    </w:p>
    <w:p w:rsidR="006677B2" w:rsidRDefault="006677B2" w:rsidP="006677B2">
      <w:pPr>
        <w:ind w:firstLine="720"/>
        <w:jc w:val="both"/>
        <w:rPr>
          <w:sz w:val="28"/>
          <w:szCs w:val="28"/>
          <w:lang w:val="uk-UA"/>
        </w:rPr>
      </w:pPr>
      <w:r>
        <w:rPr>
          <w:sz w:val="28"/>
          <w:szCs w:val="28"/>
          <w:lang w:val="uk-UA"/>
        </w:rPr>
        <w:t>Оформлено трудові відносини та укладено трудові договори з 152 найманими працівниками, у результаті сплачено податку на доходи фізичних осіб в сумі 88,0 тис. грн., єдиного соціального внеску                                               107,0 тис. грн.,</w:t>
      </w:r>
      <w:r>
        <w:rPr>
          <w:sz w:val="28"/>
          <w:szCs w:val="28"/>
          <w:lang w:val="en-US"/>
        </w:rPr>
        <w:t> </w:t>
      </w:r>
      <w:r>
        <w:rPr>
          <w:sz w:val="28"/>
          <w:szCs w:val="28"/>
          <w:lang w:val="uk-UA"/>
        </w:rPr>
        <w:t>військового збору – 7,3 тис. грн.; 17 працівників зареєструвалися як  приватні підприємці, як наслідок –</w:t>
      </w:r>
      <w:bookmarkStart w:id="0" w:name="__DdeLink__35309_1161676357"/>
      <w:bookmarkEnd w:id="0"/>
      <w:r>
        <w:rPr>
          <w:sz w:val="28"/>
          <w:szCs w:val="28"/>
          <w:lang w:val="uk-UA"/>
        </w:rPr>
        <w:t xml:space="preserve"> сплачено єдиного податку – 11,0 тис. грн.</w:t>
      </w:r>
    </w:p>
    <w:p w:rsidR="006677B2" w:rsidRDefault="006677B2" w:rsidP="006677B2">
      <w:pPr>
        <w:ind w:firstLine="720"/>
        <w:jc w:val="both"/>
        <w:rPr>
          <w:sz w:val="28"/>
          <w:szCs w:val="28"/>
          <w:lang w:val="uk-UA"/>
        </w:rPr>
      </w:pPr>
      <w:r>
        <w:rPr>
          <w:sz w:val="28"/>
          <w:szCs w:val="28"/>
          <w:lang w:val="uk-UA"/>
        </w:rPr>
        <w:t xml:space="preserve">При виконавчому комітеті Кременчуцької міської ради Полтавської області проведено 9 засідань. Заслухано  179 суб'єктів господарювання, а саме: заслухано керівників 77 юридичних осіб з питань виплати заробітної плати в розмірах менших за встановлений законодавством рівень, 86 фізичних осіб — підприємців та керівників  16 юридичних осіб за результатами проведених спільних рейдів з питань легалізації виплати заробітної плати та зайнятості населення. </w:t>
      </w:r>
    </w:p>
    <w:p w:rsidR="006677B2" w:rsidRDefault="006677B2" w:rsidP="006677B2">
      <w:pPr>
        <w:ind w:firstLine="720"/>
        <w:jc w:val="both"/>
        <w:rPr>
          <w:sz w:val="28"/>
          <w:szCs w:val="28"/>
          <w:lang w:val="uk-UA"/>
        </w:rPr>
      </w:pPr>
      <w:r>
        <w:rPr>
          <w:sz w:val="28"/>
          <w:szCs w:val="28"/>
          <w:lang w:val="uk-UA"/>
        </w:rPr>
        <w:t xml:space="preserve">По 1 фізичній особі – підприємцю інформацію щодо виявлених непоодиноких фактів використання праці неоформлених працівників передано до Кременчуцького відділу поліції ГУНП в Полтавській області.  </w:t>
      </w:r>
    </w:p>
    <w:p w:rsidR="006677B2" w:rsidRDefault="006677B2" w:rsidP="006677B2">
      <w:pPr>
        <w:autoSpaceDE w:val="0"/>
        <w:autoSpaceDN w:val="0"/>
        <w:adjustRightInd w:val="0"/>
        <w:spacing w:after="120"/>
        <w:ind w:firstLine="705"/>
        <w:jc w:val="both"/>
        <w:rPr>
          <w:sz w:val="28"/>
          <w:szCs w:val="28"/>
          <w:lang w:val="uk-UA"/>
        </w:rPr>
      </w:pPr>
      <w:r>
        <w:rPr>
          <w:sz w:val="28"/>
          <w:szCs w:val="28"/>
          <w:lang w:val="uk-UA"/>
        </w:rPr>
        <w:t xml:space="preserve">До  Управління </w:t>
      </w:r>
      <w:proofErr w:type="spellStart"/>
      <w:r>
        <w:rPr>
          <w:sz w:val="28"/>
          <w:szCs w:val="28"/>
          <w:lang w:val="uk-UA"/>
        </w:rPr>
        <w:t>Держпраці</w:t>
      </w:r>
      <w:proofErr w:type="spellEnd"/>
      <w:r>
        <w:rPr>
          <w:sz w:val="28"/>
          <w:szCs w:val="28"/>
          <w:lang w:val="uk-UA"/>
        </w:rPr>
        <w:t xml:space="preserve"> у Полтавській області передано інформацію по 24 ФОП та 13 юридичним особам для вжиття відповідних заходів реагування з питання використання праці неоформлених найманих працівників.</w:t>
      </w:r>
    </w:p>
    <w:p w:rsidR="006677B2" w:rsidRDefault="006677B2" w:rsidP="006677B2">
      <w:pPr>
        <w:autoSpaceDE w:val="0"/>
        <w:autoSpaceDN w:val="0"/>
        <w:adjustRightInd w:val="0"/>
        <w:spacing w:after="120"/>
        <w:ind w:firstLine="705"/>
        <w:jc w:val="both"/>
        <w:rPr>
          <w:sz w:val="28"/>
          <w:szCs w:val="28"/>
          <w:lang w:val="uk-UA"/>
        </w:rPr>
      </w:pPr>
      <w:r>
        <w:rPr>
          <w:sz w:val="28"/>
          <w:szCs w:val="28"/>
          <w:lang w:val="uk-UA"/>
        </w:rPr>
        <w:t xml:space="preserve">Систематично працівниками ДФС проводиться масово-роз’яснювальна робота серед населення стосовно добровільності сплати податків до бюджету фізичними особами. В місцевих ЗМІ висвітлюється інформація про суб’єктів господарювання, які виплачують заробітну плату в «конвертах». </w:t>
      </w:r>
    </w:p>
    <w:p w:rsidR="006677B2" w:rsidRDefault="006677B2" w:rsidP="006677B2">
      <w:pPr>
        <w:autoSpaceDE w:val="0"/>
        <w:autoSpaceDN w:val="0"/>
        <w:adjustRightInd w:val="0"/>
        <w:spacing w:after="120"/>
        <w:ind w:firstLine="705"/>
        <w:jc w:val="both"/>
        <w:rPr>
          <w:sz w:val="28"/>
          <w:szCs w:val="28"/>
          <w:lang w:val="uk-UA"/>
        </w:rPr>
      </w:pPr>
      <w:r>
        <w:rPr>
          <w:kern w:val="2"/>
          <w:sz w:val="28"/>
          <w:szCs w:val="28"/>
          <w:lang w:val="uk-UA" w:eastAsia="zh-CN" w:bidi="hi-IN"/>
        </w:rPr>
        <w:t>З початку року інформацію із зазначеної тематики надано: в пресі – 9 статей, на радіо – 36 виступів, на СУБ-сайті ГУ ДФС у Полтавській області – 9. Проведено 350 зустрічей з ФОП та керівниками підприємств, семінарів – 6, розміщено 67 оголошень в інтернет-виданнях,  розповсюджено 1 вид друкованої продукції — пам'ятку (200 екземплярів).</w:t>
      </w:r>
    </w:p>
    <w:p w:rsidR="006677B2" w:rsidRDefault="006677B2" w:rsidP="006677B2">
      <w:pPr>
        <w:autoSpaceDE w:val="0"/>
        <w:autoSpaceDN w:val="0"/>
        <w:adjustRightInd w:val="0"/>
        <w:spacing w:after="120"/>
        <w:ind w:firstLine="705"/>
        <w:jc w:val="both"/>
        <w:rPr>
          <w:sz w:val="28"/>
          <w:szCs w:val="28"/>
          <w:lang w:val="uk-UA"/>
        </w:rPr>
      </w:pPr>
      <w:r>
        <w:rPr>
          <w:sz w:val="28"/>
          <w:szCs w:val="28"/>
          <w:lang w:val="uk-UA"/>
        </w:rPr>
        <w:lastRenderedPageBreak/>
        <w:t xml:space="preserve">З метою розширення бази оподаткування та збільшення надходжень плати за землю проводиться звірка КОДПІ ГУ ДФС у Полтавській області з управлінням земельних ресурсів виконавчого комітету  Кременчуцької міської </w:t>
      </w:r>
      <w:r w:rsidR="00C93936">
        <w:rPr>
          <w:sz w:val="28"/>
          <w:szCs w:val="28"/>
          <w:lang w:val="uk-UA"/>
        </w:rPr>
        <w:t xml:space="preserve">ради </w:t>
      </w:r>
      <w:r>
        <w:rPr>
          <w:sz w:val="28"/>
          <w:szCs w:val="28"/>
          <w:lang w:val="uk-UA"/>
        </w:rPr>
        <w:t xml:space="preserve">Полтавської області стосовно кількості землекористувачів та площ земельних ділянок відповідно до укладених договорів оренди (останній лист від 31.07.2017 №01-50/1636) та правильності відображення в розрахунках площ земельних ділянок, які знаходяться у власності або в оренді підприємств. </w:t>
      </w:r>
    </w:p>
    <w:p w:rsidR="006677B2" w:rsidRDefault="006677B2" w:rsidP="006677B2">
      <w:pPr>
        <w:autoSpaceDE w:val="0"/>
        <w:autoSpaceDN w:val="0"/>
        <w:adjustRightInd w:val="0"/>
        <w:ind w:firstLine="709"/>
        <w:jc w:val="both"/>
        <w:rPr>
          <w:kern w:val="2"/>
          <w:sz w:val="28"/>
          <w:szCs w:val="28"/>
          <w:lang w:val="uk-UA"/>
        </w:rPr>
      </w:pPr>
      <w:bookmarkStart w:id="1" w:name="__DdeLink__5812_1783710837"/>
      <w:bookmarkStart w:id="2" w:name="__DdeLink__7174_1631937631"/>
      <w:r>
        <w:rPr>
          <w:kern w:val="2"/>
          <w:sz w:val="28"/>
          <w:szCs w:val="28"/>
          <w:lang w:val="uk-UA"/>
        </w:rPr>
        <w:t xml:space="preserve">З метою повної та своєчасної сплати земельного податку </w:t>
      </w:r>
      <w:r>
        <w:rPr>
          <w:bCs/>
          <w:kern w:val="2"/>
          <w:sz w:val="28"/>
          <w:szCs w:val="28"/>
          <w:lang w:val="uk-UA"/>
        </w:rPr>
        <w:t>з початку           2017 року Кременчуцькою ОДПІ</w:t>
      </w:r>
      <w:r>
        <w:rPr>
          <w:sz w:val="24"/>
          <w:szCs w:val="24"/>
          <w:lang w:val="uk-UA"/>
        </w:rPr>
        <w:t xml:space="preserve"> </w:t>
      </w:r>
      <w:r>
        <w:rPr>
          <w:bCs/>
          <w:kern w:val="2"/>
          <w:sz w:val="28"/>
          <w:szCs w:val="28"/>
          <w:lang w:val="uk-UA"/>
        </w:rPr>
        <w:t>ГУ ДФС у Полтавській області</w:t>
      </w:r>
      <w:r>
        <w:rPr>
          <w:kern w:val="2"/>
          <w:sz w:val="28"/>
          <w:szCs w:val="28"/>
          <w:lang w:val="uk-UA"/>
        </w:rPr>
        <w:t xml:space="preserve"> проводилась </w:t>
      </w:r>
      <w:r>
        <w:rPr>
          <w:bCs/>
          <w:kern w:val="2"/>
          <w:sz w:val="28"/>
          <w:szCs w:val="28"/>
          <w:lang w:val="uk-UA"/>
        </w:rPr>
        <w:t>роз’яснювальна робота у ЗМІ,</w:t>
      </w:r>
      <w:r>
        <w:rPr>
          <w:kern w:val="2"/>
          <w:sz w:val="28"/>
          <w:szCs w:val="28"/>
          <w:lang w:val="uk-UA"/>
        </w:rPr>
        <w:t xml:space="preserve"> висвітлено 24 повідомлення  – на радіо,</w:t>
      </w:r>
      <w:bookmarkEnd w:id="1"/>
      <w:r>
        <w:rPr>
          <w:kern w:val="2"/>
          <w:sz w:val="28"/>
          <w:szCs w:val="28"/>
          <w:lang w:val="uk-UA"/>
        </w:rPr>
        <w:t xml:space="preserve"> 8 – у пресі та </w:t>
      </w:r>
      <w:bookmarkEnd w:id="2"/>
      <w:r>
        <w:rPr>
          <w:kern w:val="2"/>
          <w:sz w:val="28"/>
          <w:szCs w:val="28"/>
          <w:lang w:val="uk-UA"/>
        </w:rPr>
        <w:t>45 -  в інтернет-виданнях та на сайтах органів влади.</w:t>
      </w:r>
    </w:p>
    <w:p w:rsidR="006677B2" w:rsidRDefault="006677B2" w:rsidP="006677B2">
      <w:pPr>
        <w:ind w:firstLine="709"/>
        <w:jc w:val="both"/>
        <w:rPr>
          <w:kern w:val="2"/>
          <w:sz w:val="28"/>
          <w:szCs w:val="28"/>
          <w:lang w:val="uk-UA" w:eastAsia="zh-CN" w:bidi="hi-IN"/>
        </w:rPr>
      </w:pPr>
      <w:r>
        <w:rPr>
          <w:kern w:val="2"/>
          <w:sz w:val="28"/>
          <w:szCs w:val="28"/>
          <w:lang w:val="uk-UA"/>
        </w:rPr>
        <w:t xml:space="preserve"> </w:t>
      </w:r>
      <w:r>
        <w:rPr>
          <w:kern w:val="2"/>
          <w:sz w:val="28"/>
          <w:szCs w:val="28"/>
          <w:lang w:val="uk-UA" w:eastAsia="zh-CN" w:bidi="hi-IN"/>
        </w:rPr>
        <w:t>З метою залучення до оподаткування всіх землекористувачів                          м. Кременчука та збільшення надходжень до місцевого бюджету від плати за землю працівниками ГУ ДФС у Полтавській області розроблено та направлено на погодження до міської ради план спільних організаційних заходів по забезпеченню надходжень до бюджету м. Кременчука коштів від плати за землю у 2017-2018 роках (лист від 14.06.2017 №321/9/16-03).</w:t>
      </w:r>
    </w:p>
    <w:p w:rsidR="006677B2" w:rsidRDefault="006677B2" w:rsidP="006677B2">
      <w:pPr>
        <w:autoSpaceDE w:val="0"/>
        <w:autoSpaceDN w:val="0"/>
        <w:adjustRightInd w:val="0"/>
        <w:ind w:firstLine="709"/>
        <w:jc w:val="both"/>
        <w:rPr>
          <w:kern w:val="2"/>
          <w:sz w:val="28"/>
          <w:szCs w:val="28"/>
          <w:lang w:val="uk-UA"/>
        </w:rPr>
      </w:pPr>
    </w:p>
    <w:p w:rsidR="006677B2" w:rsidRDefault="006677B2" w:rsidP="006677B2">
      <w:pPr>
        <w:autoSpaceDE w:val="0"/>
        <w:autoSpaceDN w:val="0"/>
        <w:adjustRightInd w:val="0"/>
        <w:ind w:firstLine="705"/>
        <w:jc w:val="both"/>
        <w:rPr>
          <w:sz w:val="28"/>
          <w:szCs w:val="28"/>
          <w:lang w:val="uk-UA"/>
        </w:rPr>
      </w:pPr>
      <w:r>
        <w:rPr>
          <w:sz w:val="28"/>
          <w:szCs w:val="28"/>
          <w:lang w:val="uk-UA"/>
        </w:rPr>
        <w:t>З метою забезпечення повноти декларування та сплати акцизного податку з роздрібного продажу підакцизних товарів (алкогольні напої, тютюнові вироби, пальне) з початку року Кременчуцькою ОДПІ</w:t>
      </w:r>
      <w:r>
        <w:rPr>
          <w:sz w:val="24"/>
          <w:szCs w:val="24"/>
          <w:lang w:val="uk-UA"/>
        </w:rPr>
        <w:t xml:space="preserve"> </w:t>
      </w:r>
      <w:r>
        <w:rPr>
          <w:sz w:val="28"/>
          <w:szCs w:val="28"/>
          <w:lang w:val="uk-UA"/>
        </w:rPr>
        <w:t>ГУ ДФС у Полтавській області забезпечено:</w:t>
      </w:r>
    </w:p>
    <w:p w:rsidR="006677B2" w:rsidRDefault="006677B2" w:rsidP="006677B2">
      <w:pPr>
        <w:tabs>
          <w:tab w:val="left" w:pos="993"/>
        </w:tabs>
        <w:ind w:firstLine="709"/>
        <w:jc w:val="both"/>
        <w:rPr>
          <w:sz w:val="28"/>
          <w:szCs w:val="28"/>
          <w:lang w:val="uk-UA"/>
        </w:rPr>
      </w:pPr>
      <w:r>
        <w:rPr>
          <w:sz w:val="28"/>
          <w:szCs w:val="28"/>
          <w:lang w:val="uk-UA"/>
        </w:rPr>
        <w:t>-  проведення співбесід з платниками, як особисто, так і в телефонному режимі;</w:t>
      </w:r>
    </w:p>
    <w:p w:rsidR="006677B2" w:rsidRDefault="006677B2" w:rsidP="006677B2">
      <w:pPr>
        <w:tabs>
          <w:tab w:val="left" w:pos="993"/>
        </w:tabs>
        <w:ind w:firstLine="709"/>
        <w:jc w:val="both"/>
        <w:rPr>
          <w:sz w:val="28"/>
          <w:szCs w:val="28"/>
        </w:rPr>
      </w:pPr>
      <w:r>
        <w:rPr>
          <w:sz w:val="28"/>
          <w:szCs w:val="28"/>
          <w:lang w:val="uk-UA"/>
        </w:rPr>
        <w:t>- проведення звірки платників, які подали декларації акцизного податку, з  базою даних діючих ліцензій на роздрібну торгівлю алкогольними напоями та тютюновими виробами;</w:t>
      </w:r>
    </w:p>
    <w:p w:rsidR="006677B2" w:rsidRDefault="006677B2" w:rsidP="006677B2">
      <w:pPr>
        <w:tabs>
          <w:tab w:val="left" w:pos="993"/>
        </w:tabs>
        <w:ind w:firstLine="709"/>
        <w:jc w:val="both"/>
        <w:rPr>
          <w:sz w:val="28"/>
          <w:szCs w:val="28"/>
          <w:lang w:val="uk-UA"/>
        </w:rPr>
      </w:pPr>
      <w:r>
        <w:rPr>
          <w:sz w:val="28"/>
          <w:szCs w:val="28"/>
        </w:rPr>
        <w:t xml:space="preserve">- </w:t>
      </w:r>
      <w:r>
        <w:rPr>
          <w:sz w:val="28"/>
          <w:szCs w:val="28"/>
          <w:lang w:val="uk-UA"/>
        </w:rPr>
        <w:t>подання декларацій акцизного податку всіма без винятку суб’єктами господарювання, які мають ліцензії на право роздрібної торгі</w:t>
      </w:r>
      <w:proofErr w:type="gramStart"/>
      <w:r>
        <w:rPr>
          <w:sz w:val="28"/>
          <w:szCs w:val="28"/>
          <w:lang w:val="uk-UA"/>
        </w:rPr>
        <w:t>вл</w:t>
      </w:r>
      <w:proofErr w:type="gramEnd"/>
      <w:r>
        <w:rPr>
          <w:sz w:val="28"/>
          <w:szCs w:val="28"/>
          <w:lang w:val="uk-UA"/>
        </w:rPr>
        <w:t xml:space="preserve">і алкогольними напоями та тютюновими виробами. </w:t>
      </w:r>
    </w:p>
    <w:p w:rsidR="006677B2" w:rsidRDefault="006677B2" w:rsidP="006677B2">
      <w:pPr>
        <w:autoSpaceDE w:val="0"/>
        <w:autoSpaceDN w:val="0"/>
        <w:adjustRightInd w:val="0"/>
        <w:spacing w:after="120"/>
        <w:ind w:firstLine="705"/>
        <w:jc w:val="both"/>
        <w:rPr>
          <w:kern w:val="2"/>
          <w:sz w:val="28"/>
          <w:szCs w:val="28"/>
          <w:lang w:val="uk-UA"/>
        </w:rPr>
      </w:pPr>
      <w:r>
        <w:rPr>
          <w:kern w:val="2"/>
          <w:sz w:val="28"/>
          <w:szCs w:val="28"/>
          <w:lang w:val="uk-UA"/>
        </w:rPr>
        <w:t>За результатами проведених перевірок з початку року сплачено                      524,1 тис. грн. акцизного податку з роздрібного продажу підакцизних товарів.</w:t>
      </w:r>
    </w:p>
    <w:p w:rsidR="006677B2" w:rsidRDefault="006677B2" w:rsidP="006677B2">
      <w:pPr>
        <w:autoSpaceDE w:val="0"/>
        <w:autoSpaceDN w:val="0"/>
        <w:adjustRightInd w:val="0"/>
        <w:ind w:firstLine="705"/>
        <w:jc w:val="both"/>
        <w:rPr>
          <w:kern w:val="2"/>
          <w:sz w:val="28"/>
          <w:szCs w:val="28"/>
          <w:lang w:val="uk-UA"/>
        </w:rPr>
      </w:pPr>
      <w:r>
        <w:rPr>
          <w:kern w:val="2"/>
          <w:sz w:val="28"/>
          <w:szCs w:val="28"/>
          <w:lang w:val="uk-UA"/>
        </w:rPr>
        <w:t xml:space="preserve">Кременчуцькою ОДПІ ГУ ДФС у Полтавській області проведено заходи щодо роз’яснення змін, внесених до Податкового кодексу України від 21.12.2016 №1797-VIII, стосовно оподаткування податком на нерухоме майно та транспортним податком, а саме: </w:t>
      </w:r>
    </w:p>
    <w:p w:rsidR="006677B2" w:rsidRDefault="006677B2" w:rsidP="006677B2">
      <w:pPr>
        <w:autoSpaceDE w:val="0"/>
        <w:autoSpaceDN w:val="0"/>
        <w:adjustRightInd w:val="0"/>
        <w:ind w:firstLine="709"/>
        <w:jc w:val="both"/>
        <w:rPr>
          <w:kern w:val="2"/>
          <w:sz w:val="28"/>
          <w:szCs w:val="28"/>
          <w:lang w:val="uk-UA"/>
        </w:rPr>
      </w:pPr>
      <w:r>
        <w:rPr>
          <w:kern w:val="2"/>
          <w:sz w:val="28"/>
          <w:szCs w:val="28"/>
          <w:lang w:val="uk-UA"/>
        </w:rPr>
        <w:t>- підготовлено 3 інформаційних матеріали щодо надходжень до місцевого бюджету від власників нерухомості та про умови сплати податку платниками – фізичними особами.</w:t>
      </w:r>
    </w:p>
    <w:p w:rsidR="006677B2" w:rsidRDefault="006677B2" w:rsidP="006677B2">
      <w:pPr>
        <w:autoSpaceDE w:val="0"/>
        <w:autoSpaceDN w:val="0"/>
        <w:adjustRightInd w:val="0"/>
        <w:ind w:firstLine="709"/>
        <w:jc w:val="both"/>
        <w:rPr>
          <w:kern w:val="2"/>
          <w:sz w:val="28"/>
          <w:szCs w:val="28"/>
          <w:lang w:val="uk-UA"/>
        </w:rPr>
      </w:pPr>
      <w:r>
        <w:rPr>
          <w:kern w:val="2"/>
          <w:sz w:val="28"/>
          <w:szCs w:val="28"/>
          <w:lang w:val="uk-UA"/>
        </w:rPr>
        <w:t xml:space="preserve">- з метою доведення до платників актуальної інформації щодо набрання чинності законодавчими актами з питань, що належать до компетенції ДФС, та підвищення рівня податкової культури платників  з початку року підготовлено        5 статей роз’яснювального характеру щодо сплати транспортного податку в 2017 році та 11 статей щодо сплати податку на нерухоме майно фізичними особами.. </w:t>
      </w:r>
    </w:p>
    <w:p w:rsidR="006677B2" w:rsidRDefault="006677B2" w:rsidP="006677B2">
      <w:pPr>
        <w:autoSpaceDE w:val="0"/>
        <w:autoSpaceDN w:val="0"/>
        <w:adjustRightInd w:val="0"/>
        <w:ind w:firstLine="709"/>
        <w:jc w:val="both"/>
        <w:rPr>
          <w:kern w:val="2"/>
          <w:sz w:val="28"/>
          <w:szCs w:val="28"/>
          <w:lang w:val="uk-UA" w:eastAsia="zh-CN" w:bidi="hi-IN"/>
        </w:rPr>
      </w:pPr>
      <w:r>
        <w:rPr>
          <w:kern w:val="2"/>
          <w:sz w:val="28"/>
          <w:szCs w:val="28"/>
          <w:lang w:val="uk-UA" w:eastAsia="zh-CN" w:bidi="hi-IN"/>
        </w:rPr>
        <w:t xml:space="preserve">Кількість розміщених матеріалів у ЗМІ стосовно оподаткування податком на нерухоме майно та транспортним податком становить 115, в тому числі: </w:t>
      </w:r>
      <w:r>
        <w:rPr>
          <w:kern w:val="2"/>
          <w:sz w:val="28"/>
          <w:szCs w:val="28"/>
          <w:lang w:val="uk-UA" w:eastAsia="zh-CN" w:bidi="hi-IN"/>
        </w:rPr>
        <w:lastRenderedPageBreak/>
        <w:t xml:space="preserve">висвітлено в пресі – 14, на радіо – 44 повідомлення, в інтернет-виданнях – 37, на сайтах органів влади – 28.    </w:t>
      </w:r>
    </w:p>
    <w:p w:rsidR="006677B2" w:rsidRDefault="006677B2" w:rsidP="006677B2">
      <w:pPr>
        <w:autoSpaceDE w:val="0"/>
        <w:autoSpaceDN w:val="0"/>
        <w:adjustRightInd w:val="0"/>
        <w:ind w:firstLine="709"/>
        <w:jc w:val="both"/>
        <w:rPr>
          <w:kern w:val="2"/>
          <w:sz w:val="28"/>
          <w:szCs w:val="28"/>
          <w:lang w:val="uk-UA"/>
        </w:rPr>
      </w:pPr>
      <w:r>
        <w:rPr>
          <w:kern w:val="2"/>
          <w:sz w:val="28"/>
          <w:szCs w:val="28"/>
          <w:lang w:val="uk-UA"/>
        </w:rPr>
        <w:t xml:space="preserve">В січні  місяці </w:t>
      </w:r>
      <w:proofErr w:type="spellStart"/>
      <w:r>
        <w:rPr>
          <w:kern w:val="2"/>
          <w:sz w:val="28"/>
          <w:szCs w:val="28"/>
          <w:lang w:val="uk-UA"/>
        </w:rPr>
        <w:t>п.р</w:t>
      </w:r>
      <w:proofErr w:type="spellEnd"/>
      <w:r>
        <w:rPr>
          <w:kern w:val="2"/>
          <w:sz w:val="28"/>
          <w:szCs w:val="28"/>
          <w:lang w:val="uk-UA"/>
        </w:rPr>
        <w:t>. в приміщенні Кременчуцької ОДПІ ГУ ДФС у Полтавській області фахівцями інспекції проведено семінар для керівників та бухгалтерів ОСББ з метою роз’яснення основних аспектів практичного застосування норм податкового законодавства, в тому числі по податку на нерухоме майно з житлової та нежитлової нерухомості.</w:t>
      </w:r>
    </w:p>
    <w:p w:rsidR="006677B2" w:rsidRDefault="006677B2" w:rsidP="006677B2">
      <w:pPr>
        <w:autoSpaceDE w:val="0"/>
        <w:autoSpaceDN w:val="0"/>
        <w:adjustRightInd w:val="0"/>
        <w:ind w:firstLine="709"/>
        <w:jc w:val="both"/>
        <w:rPr>
          <w:kern w:val="2"/>
          <w:sz w:val="28"/>
          <w:szCs w:val="28"/>
          <w:lang w:val="uk-UA"/>
        </w:rPr>
      </w:pPr>
      <w:r>
        <w:rPr>
          <w:kern w:val="2"/>
          <w:sz w:val="28"/>
          <w:szCs w:val="28"/>
          <w:lang w:val="uk-UA"/>
        </w:rPr>
        <w:t xml:space="preserve">Станом на 01.01.2017 до міського бюджету м. Кременчука рахувалось податкового боргу на загальну суму 8 791,8 тис. грн. по 2 259 СГД (без врахування банкрутів). </w:t>
      </w:r>
      <w:r>
        <w:rPr>
          <w:kern w:val="2"/>
          <w:sz w:val="28"/>
          <w:szCs w:val="28"/>
          <w:lang w:val="uk-UA" w:eastAsia="zh-CN" w:bidi="hi-IN"/>
        </w:rPr>
        <w:t>Станом на 01.10.201</w:t>
      </w:r>
      <w:r>
        <w:rPr>
          <w:kern w:val="2"/>
          <w:sz w:val="28"/>
          <w:szCs w:val="28"/>
          <w:lang w:eastAsia="zh-CN" w:bidi="hi-IN"/>
        </w:rPr>
        <w:t>7</w:t>
      </w:r>
      <w:r>
        <w:rPr>
          <w:kern w:val="2"/>
          <w:sz w:val="28"/>
          <w:szCs w:val="28"/>
          <w:lang w:val="uk-UA" w:eastAsia="zh-CN" w:bidi="hi-IN"/>
        </w:rPr>
        <w:t xml:space="preserve">  на суму 15 433,5 тис. грн. по                      5 137 СГД</w:t>
      </w:r>
      <w:r>
        <w:rPr>
          <w:kern w:val="2"/>
          <w:sz w:val="28"/>
          <w:szCs w:val="28"/>
          <w:lang w:eastAsia="zh-CN" w:bidi="hi-IN"/>
        </w:rPr>
        <w:t xml:space="preserve"> (</w:t>
      </w:r>
      <w:r>
        <w:rPr>
          <w:kern w:val="2"/>
          <w:sz w:val="28"/>
          <w:szCs w:val="28"/>
          <w:lang w:val="uk-UA" w:eastAsia="zh-CN" w:bidi="hi-IN"/>
        </w:rPr>
        <w:t>без врахування банкрутів</w:t>
      </w:r>
      <w:r>
        <w:rPr>
          <w:kern w:val="2"/>
          <w:sz w:val="28"/>
          <w:szCs w:val="28"/>
          <w:lang w:eastAsia="zh-CN" w:bidi="hi-IN"/>
        </w:rPr>
        <w:t xml:space="preserve">) </w:t>
      </w:r>
      <w:r>
        <w:rPr>
          <w:kern w:val="2"/>
          <w:sz w:val="28"/>
          <w:szCs w:val="28"/>
          <w:lang w:val="uk-UA"/>
        </w:rPr>
        <w:t>або сума боргу зросла в 1,8р. /+/                  6 641,7  тис. грн. В той же час порівняно з станом на 01.09.2017 податковий борг зменшився на суму  17 684,5 тис. грн.</w:t>
      </w:r>
      <w:r>
        <w:rPr>
          <w:kern w:val="2"/>
          <w:sz w:val="28"/>
          <w:szCs w:val="28"/>
          <w:lang w:val="uk-UA" w:eastAsia="zh-CN" w:bidi="hi-IN"/>
        </w:rPr>
        <w:t xml:space="preserve"> за рахунок проведення ухвали суду, щодо оскарження донарахування по орендній платі за землю по підприємству ТОВ «Мало-</w:t>
      </w:r>
      <w:proofErr w:type="spellStart"/>
      <w:r>
        <w:rPr>
          <w:kern w:val="2"/>
          <w:sz w:val="28"/>
          <w:szCs w:val="28"/>
          <w:lang w:val="uk-UA" w:eastAsia="zh-CN" w:bidi="hi-IN"/>
        </w:rPr>
        <w:t>Кохнівський</w:t>
      </w:r>
      <w:proofErr w:type="spellEnd"/>
      <w:r>
        <w:rPr>
          <w:kern w:val="2"/>
          <w:sz w:val="28"/>
          <w:szCs w:val="28"/>
          <w:lang w:val="uk-UA" w:eastAsia="zh-CN" w:bidi="hi-IN"/>
        </w:rPr>
        <w:t xml:space="preserve"> кар’єр».</w:t>
      </w:r>
    </w:p>
    <w:p w:rsidR="006677B2" w:rsidRDefault="006677B2" w:rsidP="006677B2">
      <w:pPr>
        <w:autoSpaceDE w:val="0"/>
        <w:autoSpaceDN w:val="0"/>
        <w:adjustRightInd w:val="0"/>
        <w:ind w:firstLine="709"/>
        <w:jc w:val="both"/>
        <w:rPr>
          <w:kern w:val="2"/>
          <w:sz w:val="28"/>
          <w:szCs w:val="28"/>
          <w:lang w:val="uk-UA"/>
        </w:rPr>
      </w:pPr>
      <w:r>
        <w:rPr>
          <w:kern w:val="2"/>
          <w:sz w:val="28"/>
          <w:szCs w:val="28"/>
          <w:lang w:val="uk-UA"/>
        </w:rPr>
        <w:t>КОДПІ ГУ ДФС у Полтавській області  вживаються заходи відповідно до чинного законодавства.</w:t>
      </w:r>
    </w:p>
    <w:p w:rsidR="006677B2" w:rsidRDefault="006677B2" w:rsidP="006677B2">
      <w:pPr>
        <w:widowControl w:val="0"/>
        <w:autoSpaceDE w:val="0"/>
        <w:autoSpaceDN w:val="0"/>
        <w:adjustRightInd w:val="0"/>
        <w:ind w:firstLine="702"/>
        <w:jc w:val="both"/>
        <w:rPr>
          <w:kern w:val="2"/>
          <w:sz w:val="28"/>
          <w:szCs w:val="28"/>
          <w:lang w:val="uk-UA" w:eastAsia="zh-CN" w:bidi="hi-IN"/>
        </w:rPr>
      </w:pPr>
      <w:r>
        <w:rPr>
          <w:kern w:val="2"/>
          <w:sz w:val="28"/>
          <w:szCs w:val="28"/>
          <w:lang w:val="uk-UA" w:eastAsia="zh-CN" w:bidi="hi-IN"/>
        </w:rPr>
        <w:t xml:space="preserve">Необхідно зазначити, що 2 646 СГД із загальною сумою боргу                     580,6 тис. грн. мають заборгованість менше ніж шістдесят неоподатковуваних мінімумів доходів громадян (1 020 грн.). </w:t>
      </w:r>
    </w:p>
    <w:p w:rsidR="006677B2" w:rsidRDefault="006677B2" w:rsidP="006677B2">
      <w:pPr>
        <w:widowControl w:val="0"/>
        <w:autoSpaceDE w:val="0"/>
        <w:autoSpaceDN w:val="0"/>
        <w:adjustRightInd w:val="0"/>
        <w:ind w:firstLine="702"/>
        <w:jc w:val="both"/>
        <w:rPr>
          <w:kern w:val="2"/>
          <w:sz w:val="28"/>
          <w:szCs w:val="28"/>
          <w:lang w:eastAsia="zh-CN" w:bidi="hi-IN"/>
        </w:rPr>
      </w:pPr>
      <w:r>
        <w:rPr>
          <w:kern w:val="2"/>
          <w:sz w:val="28"/>
          <w:szCs w:val="28"/>
          <w:lang w:eastAsia="zh-CN" w:bidi="hi-IN"/>
        </w:rPr>
        <w:t>126</w:t>
      </w:r>
      <w:r>
        <w:rPr>
          <w:kern w:val="2"/>
          <w:sz w:val="28"/>
          <w:szCs w:val="28"/>
          <w:lang w:val="uk-UA" w:eastAsia="zh-CN" w:bidi="hi-IN"/>
        </w:rPr>
        <w:t xml:space="preserve"> боржників із загальною сумою боргу </w:t>
      </w:r>
      <w:r>
        <w:rPr>
          <w:kern w:val="2"/>
          <w:sz w:val="28"/>
          <w:szCs w:val="28"/>
          <w:lang w:eastAsia="zh-CN" w:bidi="hi-IN"/>
        </w:rPr>
        <w:t xml:space="preserve">1 433,6 </w:t>
      </w:r>
      <w:r>
        <w:rPr>
          <w:kern w:val="2"/>
          <w:sz w:val="28"/>
          <w:szCs w:val="28"/>
          <w:lang w:val="uk-UA" w:eastAsia="zh-CN" w:bidi="hi-IN"/>
        </w:rPr>
        <w:t>тис</w:t>
      </w:r>
      <w:proofErr w:type="gramStart"/>
      <w:r>
        <w:rPr>
          <w:kern w:val="2"/>
          <w:sz w:val="28"/>
          <w:szCs w:val="28"/>
          <w:lang w:val="uk-UA" w:eastAsia="zh-CN" w:bidi="hi-IN"/>
        </w:rPr>
        <w:t>.</w:t>
      </w:r>
      <w:proofErr w:type="gramEnd"/>
      <w:r>
        <w:rPr>
          <w:kern w:val="2"/>
          <w:sz w:val="28"/>
          <w:szCs w:val="28"/>
          <w:lang w:val="uk-UA" w:eastAsia="zh-CN" w:bidi="hi-IN"/>
        </w:rPr>
        <w:t xml:space="preserve"> </w:t>
      </w:r>
      <w:proofErr w:type="gramStart"/>
      <w:r>
        <w:rPr>
          <w:kern w:val="2"/>
          <w:sz w:val="28"/>
          <w:szCs w:val="28"/>
          <w:lang w:val="uk-UA" w:eastAsia="zh-CN" w:bidi="hi-IN"/>
        </w:rPr>
        <w:t>г</w:t>
      </w:r>
      <w:proofErr w:type="gramEnd"/>
      <w:r>
        <w:rPr>
          <w:kern w:val="2"/>
          <w:sz w:val="28"/>
          <w:szCs w:val="28"/>
          <w:lang w:val="uk-UA" w:eastAsia="zh-CN" w:bidi="hi-IN"/>
        </w:rPr>
        <w:t>рн. знаходяться на примусовому виконанні у державній виконавчій службі.</w:t>
      </w:r>
    </w:p>
    <w:p w:rsidR="006677B2" w:rsidRDefault="006677B2" w:rsidP="006677B2">
      <w:pPr>
        <w:widowControl w:val="0"/>
        <w:autoSpaceDE w:val="0"/>
        <w:autoSpaceDN w:val="0"/>
        <w:adjustRightInd w:val="0"/>
        <w:ind w:firstLine="702"/>
        <w:jc w:val="both"/>
        <w:rPr>
          <w:kern w:val="2"/>
          <w:sz w:val="28"/>
          <w:szCs w:val="28"/>
          <w:lang w:val="uk-UA" w:eastAsia="zh-CN" w:bidi="hi-IN"/>
        </w:rPr>
      </w:pPr>
      <w:r>
        <w:rPr>
          <w:kern w:val="2"/>
          <w:sz w:val="28"/>
          <w:szCs w:val="28"/>
          <w:lang w:eastAsia="zh-CN" w:bidi="hi-IN"/>
        </w:rPr>
        <w:t xml:space="preserve">24 </w:t>
      </w:r>
      <w:r>
        <w:rPr>
          <w:kern w:val="2"/>
          <w:sz w:val="28"/>
          <w:szCs w:val="28"/>
          <w:lang w:val="uk-UA" w:eastAsia="zh-CN" w:bidi="hi-IN"/>
        </w:rPr>
        <w:t xml:space="preserve">СГД на загальну суму боргу 1 040,2 тис. грн. знаходяться у стадії ліквідації – платниками самостійно подано заяву на припинення </w:t>
      </w:r>
      <w:proofErr w:type="gramStart"/>
      <w:r>
        <w:rPr>
          <w:kern w:val="2"/>
          <w:sz w:val="28"/>
          <w:szCs w:val="28"/>
          <w:lang w:val="uk-UA" w:eastAsia="zh-CN" w:bidi="hi-IN"/>
        </w:rPr>
        <w:t>п</w:t>
      </w:r>
      <w:proofErr w:type="gramEnd"/>
      <w:r>
        <w:rPr>
          <w:kern w:val="2"/>
          <w:sz w:val="28"/>
          <w:szCs w:val="28"/>
          <w:lang w:val="uk-UA" w:eastAsia="zh-CN" w:bidi="hi-IN"/>
        </w:rPr>
        <w:t xml:space="preserve">ідприємницької діяльності. </w:t>
      </w:r>
    </w:p>
    <w:p w:rsidR="006677B2" w:rsidRDefault="006677B2" w:rsidP="006677B2">
      <w:pPr>
        <w:widowControl w:val="0"/>
        <w:autoSpaceDE w:val="0"/>
        <w:autoSpaceDN w:val="0"/>
        <w:adjustRightInd w:val="0"/>
        <w:ind w:firstLine="702"/>
        <w:jc w:val="both"/>
        <w:rPr>
          <w:kern w:val="2"/>
          <w:sz w:val="28"/>
          <w:szCs w:val="28"/>
          <w:lang w:val="uk-UA" w:eastAsia="zh-CN" w:bidi="hi-IN"/>
        </w:rPr>
      </w:pPr>
      <w:r>
        <w:rPr>
          <w:kern w:val="2"/>
          <w:sz w:val="28"/>
          <w:szCs w:val="28"/>
          <w:lang w:val="uk-UA" w:eastAsia="zh-CN" w:bidi="hi-IN"/>
        </w:rPr>
        <w:t xml:space="preserve">По </w:t>
      </w:r>
      <w:r>
        <w:rPr>
          <w:kern w:val="2"/>
          <w:sz w:val="28"/>
          <w:szCs w:val="28"/>
          <w:lang w:eastAsia="zh-CN" w:bidi="hi-IN"/>
        </w:rPr>
        <w:t>43</w:t>
      </w:r>
      <w:r>
        <w:rPr>
          <w:kern w:val="2"/>
          <w:sz w:val="28"/>
          <w:szCs w:val="28"/>
          <w:lang w:val="uk-UA" w:eastAsia="zh-CN" w:bidi="hi-IN"/>
        </w:rPr>
        <w:t xml:space="preserve"> боржниках заборгованість на загальну суму 4</w:t>
      </w:r>
      <w:r>
        <w:rPr>
          <w:kern w:val="2"/>
          <w:sz w:val="28"/>
          <w:szCs w:val="28"/>
          <w:lang w:eastAsia="zh-CN" w:bidi="hi-IN"/>
        </w:rPr>
        <w:t xml:space="preserve"> 411</w:t>
      </w:r>
      <w:r>
        <w:rPr>
          <w:kern w:val="2"/>
          <w:sz w:val="28"/>
          <w:szCs w:val="28"/>
          <w:lang w:val="uk-UA" w:eastAsia="zh-CN" w:bidi="hi-IN"/>
        </w:rPr>
        <w:t>,8 тис. грн. стягується шляхом виставлення інкасових доручень до установ банків, що обслуговують таких боржників.</w:t>
      </w:r>
    </w:p>
    <w:p w:rsidR="004C034C" w:rsidRDefault="004C034C" w:rsidP="006677B2">
      <w:pPr>
        <w:widowControl w:val="0"/>
        <w:autoSpaceDE w:val="0"/>
        <w:autoSpaceDN w:val="0"/>
        <w:adjustRightInd w:val="0"/>
        <w:ind w:firstLine="702"/>
        <w:jc w:val="both"/>
        <w:rPr>
          <w:kern w:val="2"/>
          <w:sz w:val="28"/>
          <w:szCs w:val="28"/>
          <w:lang w:val="uk-UA" w:eastAsia="zh-CN" w:bidi="hi-IN"/>
        </w:rPr>
      </w:pPr>
    </w:p>
    <w:p w:rsidR="006677B2" w:rsidRDefault="006677B2" w:rsidP="006677B2">
      <w:pPr>
        <w:overflowPunct w:val="0"/>
        <w:autoSpaceDE w:val="0"/>
        <w:autoSpaceDN w:val="0"/>
        <w:adjustRightInd w:val="0"/>
        <w:jc w:val="center"/>
        <w:textAlignment w:val="baseline"/>
        <w:rPr>
          <w:b/>
          <w:sz w:val="28"/>
          <w:szCs w:val="28"/>
          <w:lang w:val="uk-UA"/>
        </w:rPr>
      </w:pPr>
      <w:r>
        <w:rPr>
          <w:b/>
          <w:sz w:val="28"/>
          <w:szCs w:val="28"/>
          <w:lang w:val="uk-UA"/>
        </w:rPr>
        <w:t>ВИДАТКИ</w:t>
      </w:r>
    </w:p>
    <w:p w:rsidR="006677B2" w:rsidRDefault="006677B2" w:rsidP="006677B2">
      <w:pPr>
        <w:overflowPunct w:val="0"/>
        <w:autoSpaceDE w:val="0"/>
        <w:autoSpaceDN w:val="0"/>
        <w:adjustRightInd w:val="0"/>
        <w:ind w:firstLine="709"/>
        <w:jc w:val="both"/>
        <w:textAlignment w:val="baseline"/>
        <w:rPr>
          <w:sz w:val="28"/>
          <w:szCs w:val="28"/>
          <w:lang w:val="uk-UA"/>
        </w:rPr>
      </w:pP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Видатки міського бюджету міста на 2017 рік були затверджені в обсязі               1 903 573,3  тис. грн.,  в тому числі: загальний фонд – 1 749 437,9 тис. грн., спеціальний фонд – 154 135,3 тис. грн., з них бюджет розвитку –                      111 864,2 тис. грн. Видатки на кредитування по спеціальному фонду передбачені в сумі 2 343,6 тис. грн.</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xml:space="preserve">Видатки загального фонду міського бюджету враховують трансферти з державного </w:t>
      </w:r>
      <w:r w:rsidR="009C0F80">
        <w:rPr>
          <w:sz w:val="28"/>
          <w:szCs w:val="28"/>
          <w:lang w:val="uk-UA"/>
        </w:rPr>
        <w:t>та обласного бюджетів</w:t>
      </w:r>
      <w:r>
        <w:rPr>
          <w:sz w:val="28"/>
          <w:szCs w:val="28"/>
          <w:lang w:val="uk-UA"/>
        </w:rPr>
        <w:t xml:space="preserve"> в сумі 939 304,2 тис. грн., а саме:</w:t>
      </w:r>
    </w:p>
    <w:p w:rsidR="006677B2" w:rsidRDefault="006677B2" w:rsidP="006677B2">
      <w:pPr>
        <w:widowControl w:val="0"/>
        <w:tabs>
          <w:tab w:val="left" w:pos="709"/>
          <w:tab w:val="left" w:pos="1440"/>
        </w:tabs>
        <w:suppressAutoHyphens/>
        <w:ind w:firstLine="709"/>
        <w:jc w:val="both"/>
        <w:rPr>
          <w:sz w:val="28"/>
          <w:szCs w:val="28"/>
          <w:lang w:val="uk-UA"/>
        </w:rPr>
      </w:pPr>
      <w:r>
        <w:rPr>
          <w:sz w:val="28"/>
          <w:szCs w:val="28"/>
          <w:lang w:val="uk-UA"/>
        </w:rPr>
        <w:t>- 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І чи ІІ групи внаслідок психічного розладу – 219 885,0 тис. грн.;</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xml:space="preserve">- 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w:t>
      </w:r>
      <w:r>
        <w:rPr>
          <w:bCs/>
          <w:sz w:val="28"/>
          <w:szCs w:val="28"/>
          <w:lang w:val="uk-UA"/>
        </w:rPr>
        <w:t>вивезення побутового сміття та рідких нечистот</w:t>
      </w:r>
      <w:r>
        <w:rPr>
          <w:sz w:val="28"/>
          <w:szCs w:val="28"/>
          <w:lang w:val="uk-UA"/>
        </w:rPr>
        <w:t xml:space="preserve"> – 371 405,1 тис. грн.4</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xml:space="preserve">- субвенція з державного бюджету місцевим бюджетам на надання пільг </w:t>
      </w:r>
      <w:r>
        <w:rPr>
          <w:sz w:val="28"/>
          <w:szCs w:val="28"/>
          <w:lang w:val="uk-UA"/>
        </w:rPr>
        <w:lastRenderedPageBreak/>
        <w:t>та житлових субсидій населенню на придбання твердого та рідкого пічного побутового палива і скрапленого газу – 435,0 тис. грн.;</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освітня субвенція з державного бюджету місцевим бюджетам – 156 692,1 тис. грн.;</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медична субвенція з державного бюджету місцевим бюджетам – 188 649,2 тис. грн.;</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інші субвенції – 1 659,0 тис. грн. (411, 0 тис. грн. – субвенція з обласного бюджету на пільгове медичне обслуговування осіб, які постраждали внаслідок Чорнобильської катастрофи, видатки на поховання учасників бойових дій і інвалідів війни, встановлення телефонів інвалідам І та ІІ групи;                 1 248,0 тис. грн.. - субвенція з обласного бюджету на часткову оплату вартості путівки до дитячого закладу оздоровлення та відпочинку області для оздоровлення дітей, які виховуються в сім’ях з дітьми);</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 субвенція з державного бюджету місцевим бюджетам на 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вихователя у  сумі                  578,8 тис. грн.</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xml:space="preserve">Протягом 9 місяців поточного року видатки </w:t>
      </w:r>
      <w:r>
        <w:rPr>
          <w:b/>
          <w:sz w:val="28"/>
          <w:szCs w:val="28"/>
          <w:lang w:val="uk-UA"/>
        </w:rPr>
        <w:t>загального фонду</w:t>
      </w:r>
      <w:r>
        <w:rPr>
          <w:sz w:val="28"/>
          <w:szCs w:val="28"/>
          <w:lang w:val="uk-UA"/>
        </w:rPr>
        <w:t xml:space="preserve">  були збільшені на 293 370,0 тис. грн., в </w:t>
      </w:r>
      <w:proofErr w:type="spellStart"/>
      <w:r>
        <w:rPr>
          <w:sz w:val="28"/>
          <w:szCs w:val="28"/>
          <w:lang w:val="uk-UA"/>
        </w:rPr>
        <w:t>т.ч</w:t>
      </w:r>
      <w:proofErr w:type="spellEnd"/>
      <w:r>
        <w:rPr>
          <w:sz w:val="28"/>
          <w:szCs w:val="28"/>
          <w:lang w:val="uk-UA"/>
        </w:rPr>
        <w:t>.:</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за рахунок затвердження дефіциту бюджету  (виділення коштів за рахунок вільного залишку бюджетних коштів) на суму 31 960,0 тис. грн.;</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внесення змін до доходів бюджету – 81 741,1 тис. грн.;</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трансферти з державного бюджету були збільшені на                                        173 948,1 тис. грн.;</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за рахунок зменшення передачі із загального до спеціального фонду загальний фонд було збільшено на 5 720,8 тис. грн.</w:t>
      </w:r>
    </w:p>
    <w:p w:rsidR="006677B2" w:rsidRDefault="006677B2" w:rsidP="006677B2">
      <w:pPr>
        <w:tabs>
          <w:tab w:val="left" w:pos="709"/>
        </w:tabs>
        <w:overflowPunct w:val="0"/>
        <w:autoSpaceDE w:val="0"/>
        <w:autoSpaceDN w:val="0"/>
        <w:adjustRightInd w:val="0"/>
        <w:ind w:firstLine="709"/>
        <w:jc w:val="both"/>
        <w:textAlignment w:val="baseline"/>
        <w:rPr>
          <w:sz w:val="28"/>
          <w:szCs w:val="28"/>
          <w:lang w:val="uk-UA"/>
        </w:rPr>
      </w:pPr>
      <w:r>
        <w:rPr>
          <w:sz w:val="28"/>
          <w:szCs w:val="28"/>
          <w:lang w:val="uk-UA"/>
        </w:rPr>
        <w:t xml:space="preserve">Затверджені видатки </w:t>
      </w:r>
      <w:r>
        <w:rPr>
          <w:b/>
          <w:sz w:val="28"/>
          <w:szCs w:val="28"/>
          <w:lang w:val="uk-UA"/>
        </w:rPr>
        <w:t>спеціального фонду</w:t>
      </w:r>
      <w:r>
        <w:rPr>
          <w:sz w:val="28"/>
          <w:szCs w:val="28"/>
          <w:lang w:val="uk-UA"/>
        </w:rPr>
        <w:t xml:space="preserve"> були збільшені на                             213 218,1 тис. грн., в </w:t>
      </w:r>
      <w:proofErr w:type="spellStart"/>
      <w:r>
        <w:rPr>
          <w:sz w:val="28"/>
          <w:szCs w:val="28"/>
          <w:lang w:val="uk-UA"/>
        </w:rPr>
        <w:t>т.ч</w:t>
      </w:r>
      <w:proofErr w:type="spellEnd"/>
      <w:r>
        <w:rPr>
          <w:sz w:val="28"/>
          <w:szCs w:val="28"/>
          <w:lang w:val="uk-UA"/>
        </w:rPr>
        <w:t>.:</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xml:space="preserve">- за рахунок затвердження дефіциту бюджету (виділення коштів за рахунок залишку бюджетних коштів) – 111 004,0 тис. грн.; </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внесення змін до доходів бюджету – 73 400,1 тис. грн.;</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трансферти з державного бюджету були збільшені на 34 534,8 тис. грн.;</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за рахунок передачі із загального до спеціального фонду зменшені на                  5 720,8  тис. грн.</w:t>
      </w:r>
    </w:p>
    <w:p w:rsidR="00B13CE9" w:rsidRDefault="00B13CE9" w:rsidP="006677B2">
      <w:pPr>
        <w:overflowPunct w:val="0"/>
        <w:autoSpaceDE w:val="0"/>
        <w:autoSpaceDN w:val="0"/>
        <w:adjustRightInd w:val="0"/>
        <w:ind w:firstLine="709"/>
        <w:jc w:val="both"/>
        <w:textAlignment w:val="baseline"/>
        <w:rPr>
          <w:sz w:val="28"/>
          <w:szCs w:val="28"/>
          <w:lang w:val="uk-UA"/>
        </w:rPr>
      </w:pP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 xml:space="preserve">Кошторисні призначення бюджетних установ також були збільшені </w:t>
      </w:r>
      <w:r w:rsidR="00B13CE9">
        <w:rPr>
          <w:sz w:val="28"/>
          <w:szCs w:val="28"/>
          <w:lang w:val="uk-UA"/>
        </w:rPr>
        <w:t xml:space="preserve">і </w:t>
      </w:r>
      <w:r>
        <w:rPr>
          <w:sz w:val="28"/>
          <w:szCs w:val="28"/>
          <w:lang w:val="uk-UA"/>
        </w:rPr>
        <w:t>за рахунок власних надходжень</w:t>
      </w:r>
      <w:r w:rsidR="00B13CE9">
        <w:rPr>
          <w:sz w:val="28"/>
          <w:szCs w:val="28"/>
          <w:lang w:val="uk-UA"/>
        </w:rPr>
        <w:t>.</w:t>
      </w:r>
      <w:r>
        <w:rPr>
          <w:sz w:val="28"/>
          <w:szCs w:val="28"/>
          <w:lang w:val="uk-UA"/>
        </w:rPr>
        <w:t xml:space="preserve"> </w:t>
      </w:r>
    </w:p>
    <w:p w:rsidR="006677B2" w:rsidRDefault="006677B2" w:rsidP="006677B2">
      <w:pPr>
        <w:widowControl w:val="0"/>
        <w:tabs>
          <w:tab w:val="left" w:pos="1440"/>
        </w:tabs>
        <w:suppressAutoHyphens/>
        <w:ind w:firstLine="709"/>
        <w:jc w:val="both"/>
        <w:rPr>
          <w:sz w:val="28"/>
          <w:szCs w:val="28"/>
          <w:lang w:val="uk-UA"/>
        </w:rPr>
      </w:pPr>
      <w:r>
        <w:rPr>
          <w:sz w:val="28"/>
          <w:szCs w:val="28"/>
          <w:lang w:val="uk-UA"/>
        </w:rPr>
        <w:t>Таким чином</w:t>
      </w:r>
      <w:r w:rsidR="00B13CE9">
        <w:rPr>
          <w:sz w:val="28"/>
          <w:szCs w:val="28"/>
          <w:lang w:val="uk-UA"/>
        </w:rPr>
        <w:t>,</w:t>
      </w:r>
      <w:r>
        <w:rPr>
          <w:sz w:val="28"/>
          <w:szCs w:val="28"/>
          <w:lang w:val="uk-UA"/>
        </w:rPr>
        <w:t xml:space="preserve"> затверджені видатки міського бюджету міста Кременчука на 2017 рік з урахуванням внесених змін складають 2 414 879,2 тис. грн. (додаток до Пояснювальної записки про виконання міського бюджету за                  9 місяців 2017 року), в тому числі:</w:t>
      </w:r>
    </w:p>
    <w:p w:rsidR="006677B2" w:rsidRDefault="006677B2" w:rsidP="006677B2">
      <w:pPr>
        <w:widowControl w:val="0"/>
        <w:tabs>
          <w:tab w:val="num" w:pos="1260"/>
        </w:tabs>
        <w:suppressAutoHyphens/>
        <w:ind w:firstLine="709"/>
        <w:jc w:val="both"/>
        <w:rPr>
          <w:sz w:val="28"/>
          <w:szCs w:val="28"/>
          <w:lang w:val="uk-UA"/>
        </w:rPr>
      </w:pPr>
      <w:r>
        <w:rPr>
          <w:sz w:val="28"/>
          <w:szCs w:val="28"/>
          <w:lang w:val="uk-UA"/>
        </w:rPr>
        <w:t>- видатки загального фонду міського бюджету затверджені в сумі 2 042 808,0 тис. грн.;</w:t>
      </w:r>
    </w:p>
    <w:p w:rsidR="006677B2" w:rsidRDefault="006677B2" w:rsidP="006677B2">
      <w:pPr>
        <w:widowControl w:val="0"/>
        <w:tabs>
          <w:tab w:val="num" w:pos="1260"/>
        </w:tabs>
        <w:suppressAutoHyphens/>
        <w:ind w:firstLine="709"/>
        <w:jc w:val="both"/>
        <w:rPr>
          <w:sz w:val="28"/>
          <w:szCs w:val="28"/>
          <w:lang w:val="uk-UA"/>
        </w:rPr>
      </w:pPr>
      <w:r>
        <w:rPr>
          <w:sz w:val="28"/>
          <w:szCs w:val="28"/>
          <w:lang w:val="uk-UA"/>
        </w:rPr>
        <w:t xml:space="preserve">- кошторисні призначення на рік з урахуванням внесених змін по </w:t>
      </w:r>
      <w:r>
        <w:rPr>
          <w:sz w:val="28"/>
          <w:szCs w:val="28"/>
          <w:lang w:val="uk-UA"/>
        </w:rPr>
        <w:lastRenderedPageBreak/>
        <w:t>спеціальному фонду складають 372 071,3 тис. грн., в тому числі бюджет розвитку – 303 964,4 тис. грн.</w:t>
      </w:r>
    </w:p>
    <w:p w:rsidR="006677B2" w:rsidRDefault="006677B2" w:rsidP="006677B2">
      <w:pPr>
        <w:widowControl w:val="0"/>
        <w:tabs>
          <w:tab w:val="num" w:pos="1260"/>
        </w:tabs>
        <w:suppressAutoHyphens/>
        <w:ind w:firstLine="709"/>
        <w:jc w:val="both"/>
        <w:rPr>
          <w:sz w:val="28"/>
          <w:szCs w:val="28"/>
          <w:lang w:val="uk-UA"/>
        </w:rPr>
      </w:pPr>
      <w:r>
        <w:rPr>
          <w:sz w:val="28"/>
          <w:szCs w:val="28"/>
          <w:lang w:val="uk-UA"/>
        </w:rPr>
        <w:t xml:space="preserve">Обсяг видатків </w:t>
      </w:r>
      <w:r>
        <w:rPr>
          <w:b/>
          <w:sz w:val="28"/>
          <w:szCs w:val="28"/>
          <w:lang w:val="uk-UA"/>
        </w:rPr>
        <w:t>загального фонду</w:t>
      </w:r>
      <w:r>
        <w:rPr>
          <w:sz w:val="28"/>
          <w:szCs w:val="28"/>
          <w:lang w:val="uk-UA"/>
        </w:rPr>
        <w:t xml:space="preserve"> міського бюджету на 9 місяців                   2017  року  передбачений в сумі 1 580 834,5 тис. грн., касові видатки склали 1 479 434,3 тис. грн., що складає 93,6% (касові видатки взяті зі звіту, наданого Управлінням Державної казначейської служби у м. </w:t>
      </w:r>
      <w:proofErr w:type="spellStart"/>
      <w:r>
        <w:rPr>
          <w:sz w:val="28"/>
          <w:szCs w:val="28"/>
          <w:lang w:val="uk-UA"/>
        </w:rPr>
        <w:t>Кременчуці</w:t>
      </w:r>
      <w:proofErr w:type="spellEnd"/>
      <w:r>
        <w:rPr>
          <w:sz w:val="28"/>
          <w:szCs w:val="28"/>
          <w:lang w:val="uk-UA"/>
        </w:rPr>
        <w:t xml:space="preserve"> Полтавської області).</w:t>
      </w:r>
    </w:p>
    <w:p w:rsidR="006677B2" w:rsidRDefault="006677B2" w:rsidP="006677B2">
      <w:pPr>
        <w:widowControl w:val="0"/>
        <w:tabs>
          <w:tab w:val="num" w:pos="1260"/>
        </w:tabs>
        <w:suppressAutoHyphens/>
        <w:ind w:firstLine="709"/>
        <w:jc w:val="both"/>
        <w:rPr>
          <w:sz w:val="28"/>
          <w:szCs w:val="28"/>
          <w:lang w:val="uk-UA"/>
        </w:rPr>
      </w:pPr>
      <w:r>
        <w:rPr>
          <w:sz w:val="28"/>
          <w:szCs w:val="28"/>
          <w:lang w:val="uk-UA"/>
        </w:rPr>
        <w:t xml:space="preserve">Установами та закладами, які фінансуються з міського бюджету                      за 9 місяців поточного року витрачено коштів </w:t>
      </w:r>
      <w:r>
        <w:rPr>
          <w:b/>
          <w:sz w:val="28"/>
          <w:szCs w:val="28"/>
          <w:lang w:val="uk-UA"/>
        </w:rPr>
        <w:t>спеціального фонду</w:t>
      </w:r>
      <w:r>
        <w:rPr>
          <w:sz w:val="28"/>
          <w:szCs w:val="28"/>
          <w:lang w:val="uk-UA"/>
        </w:rPr>
        <w:t xml:space="preserve"> на суму 190 821,9 тис. грн., що складає 51,3% уточнених асигнувань на рік. </w:t>
      </w:r>
    </w:p>
    <w:p w:rsidR="006677B2" w:rsidRDefault="006677B2" w:rsidP="006677B2">
      <w:pPr>
        <w:widowControl w:val="0"/>
        <w:tabs>
          <w:tab w:val="num" w:pos="1260"/>
        </w:tabs>
        <w:suppressAutoHyphens/>
        <w:ind w:firstLine="709"/>
        <w:jc w:val="both"/>
        <w:rPr>
          <w:sz w:val="28"/>
          <w:szCs w:val="28"/>
          <w:lang w:val="uk-UA"/>
        </w:rPr>
      </w:pPr>
      <w:r>
        <w:rPr>
          <w:sz w:val="28"/>
          <w:szCs w:val="28"/>
          <w:lang w:val="uk-UA"/>
        </w:rPr>
        <w:t xml:space="preserve">Видатки загального фонду на заробітну плату з нарахуваннями працівникам бюджетної сфери за 9 місяців 2017 року склали 402 931,9 тис. грн. при планових призначеннях 417 302,1 тис. грн., що складає 96,6%. Питома вага видатків на заробітну плату з нарахуваннями в загальних видатках склала 27,2%.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За рахунок спеціального фонду  на виплату заробітної плати направлено           6 040,1 тис. грн. (заробітна плата працівників, які надають платні послуги в бюджетних установах відповідно до законодавства).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Видатки загального фонду на медикаменти при плані на 9 місяців                     2017 року 191,4 тис. грн. склали 190,7 тис. грн., що становить 99,6%.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Видатки на  продукти   харчування при плані 16 728,3 тис. грн.,  склали 15 809,9 тис. грн., що становить 94,5%. Питома вага від загальних витрат загального фонду 1,1%. За рахунок коштів спеціального фонду витрачено 8 914,7 тис. грн.</w:t>
      </w:r>
    </w:p>
    <w:p w:rsidR="006677B2" w:rsidRDefault="006677B2" w:rsidP="006677B2">
      <w:pPr>
        <w:overflowPunct w:val="0"/>
        <w:autoSpaceDE w:val="0"/>
        <w:autoSpaceDN w:val="0"/>
        <w:adjustRightInd w:val="0"/>
        <w:ind w:firstLine="709"/>
        <w:jc w:val="both"/>
        <w:textAlignment w:val="baseline"/>
        <w:rPr>
          <w:bCs/>
          <w:iCs/>
          <w:sz w:val="28"/>
          <w:szCs w:val="28"/>
          <w:lang w:val="uk-UA"/>
        </w:rPr>
      </w:pPr>
      <w:r>
        <w:rPr>
          <w:sz w:val="28"/>
          <w:szCs w:val="28"/>
          <w:lang w:val="uk-UA"/>
        </w:rPr>
        <w:t>Видатки загального фонду на оплату комунальних послуг та енергоносіїв  при плані на 9 місяців поточного року 44 578,6 тис. грн. склали                            41 874,7 тис. грн., що становить 93,9%. Питома вага від загальних витрат загального фонду – 2,8%.  За рахунок коштів спеціального фонду витрачено  758,5 тис. грн.</w:t>
      </w:r>
      <w:r>
        <w:rPr>
          <w:bCs/>
          <w:iCs/>
          <w:sz w:val="28"/>
          <w:szCs w:val="28"/>
          <w:lang w:val="uk-UA"/>
        </w:rPr>
        <w:t xml:space="preserve">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p>
    <w:p w:rsidR="006677B2" w:rsidRDefault="006677B2" w:rsidP="006677B2">
      <w:pPr>
        <w:suppressAutoHyphens/>
        <w:overflowPunct w:val="0"/>
        <w:autoSpaceDE w:val="0"/>
        <w:autoSpaceDN w:val="0"/>
        <w:adjustRightInd w:val="0"/>
        <w:ind w:firstLine="709"/>
        <w:jc w:val="both"/>
        <w:textAlignment w:val="baseline"/>
        <w:rPr>
          <w:b/>
          <w:i/>
          <w:sz w:val="28"/>
          <w:szCs w:val="28"/>
          <w:lang w:val="uk-UA"/>
        </w:rPr>
      </w:pPr>
      <w:r>
        <w:rPr>
          <w:sz w:val="28"/>
          <w:szCs w:val="28"/>
          <w:lang w:val="uk-UA"/>
        </w:rPr>
        <w:t>Станом на 01.10.2017 року виникла кредиторська заборгованість по загальному фонду в сумі 206 796,1 тис. грн., в тому числі прострочена заборгованість  – 190 341,2 тис. грн., це головним чином  недоотримана субвенція з державного бюджету на пільги та субсидії, яка буде погашена по мірі надходження коштів.</w:t>
      </w:r>
    </w:p>
    <w:p w:rsidR="006677B2" w:rsidRDefault="006677B2" w:rsidP="006677B2">
      <w:pPr>
        <w:overflowPunct w:val="0"/>
        <w:autoSpaceDE w:val="0"/>
        <w:autoSpaceDN w:val="0"/>
        <w:adjustRightInd w:val="0"/>
        <w:ind w:firstLine="709"/>
        <w:jc w:val="both"/>
        <w:textAlignment w:val="baseline"/>
        <w:rPr>
          <w:sz w:val="28"/>
          <w:szCs w:val="28"/>
          <w:lang w:val="uk-UA"/>
        </w:rPr>
      </w:pP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Видатки спеціального фонду на капітальні ви</w:t>
      </w:r>
      <w:r w:rsidR="007E70AF">
        <w:rPr>
          <w:sz w:val="28"/>
          <w:szCs w:val="28"/>
          <w:lang w:val="uk-UA"/>
        </w:rPr>
        <w:t>трати</w:t>
      </w:r>
      <w:r>
        <w:rPr>
          <w:sz w:val="28"/>
          <w:szCs w:val="28"/>
          <w:lang w:val="uk-UA"/>
        </w:rPr>
        <w:t xml:space="preserve"> при річному плані           319 815,6 тис. грн. склали 149 616,1 тис. грн., тобто 46,8%.</w:t>
      </w:r>
    </w:p>
    <w:p w:rsidR="006677B2" w:rsidRDefault="006677B2" w:rsidP="006677B2">
      <w:pPr>
        <w:overflowPunct w:val="0"/>
        <w:autoSpaceDE w:val="0"/>
        <w:autoSpaceDN w:val="0"/>
        <w:adjustRightInd w:val="0"/>
        <w:ind w:firstLine="709"/>
        <w:jc w:val="both"/>
        <w:textAlignment w:val="baseline"/>
        <w:rPr>
          <w:sz w:val="28"/>
          <w:szCs w:val="28"/>
          <w:lang w:val="uk-UA"/>
        </w:rPr>
      </w:pPr>
      <w:r>
        <w:rPr>
          <w:sz w:val="28"/>
          <w:szCs w:val="28"/>
          <w:lang w:val="uk-UA"/>
        </w:rPr>
        <w:t>Структура видатків бюджету м. Кременчука станом на 01.10.2017 року по основним галузям представлена у вигляді діаграми.</w:t>
      </w:r>
    </w:p>
    <w:p w:rsidR="006677B2" w:rsidRDefault="006677B2" w:rsidP="006677B2">
      <w:pPr>
        <w:overflowPunct w:val="0"/>
        <w:autoSpaceDE w:val="0"/>
        <w:autoSpaceDN w:val="0"/>
        <w:adjustRightInd w:val="0"/>
        <w:ind w:firstLine="709"/>
        <w:jc w:val="both"/>
        <w:textAlignment w:val="baseline"/>
        <w:rPr>
          <w:sz w:val="28"/>
          <w:szCs w:val="28"/>
          <w:lang w:val="uk-UA"/>
        </w:rPr>
      </w:pPr>
    </w:p>
    <w:p w:rsidR="006677B2" w:rsidRDefault="006677B2" w:rsidP="006677B2">
      <w:pPr>
        <w:overflowPunct w:val="0"/>
        <w:autoSpaceDE w:val="0"/>
        <w:autoSpaceDN w:val="0"/>
        <w:adjustRightInd w:val="0"/>
        <w:jc w:val="both"/>
        <w:textAlignment w:val="baseline"/>
        <w:rPr>
          <w:sz w:val="28"/>
          <w:szCs w:val="28"/>
          <w:lang w:val="uk-UA"/>
        </w:rPr>
      </w:pPr>
      <w:r>
        <w:rPr>
          <w:noProof/>
          <w:sz w:val="28"/>
          <w:szCs w:val="28"/>
        </w:rPr>
        <w:lastRenderedPageBreak/>
        <w:drawing>
          <wp:inline distT="0" distB="0" distL="0" distR="0">
            <wp:extent cx="6124575" cy="401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4575" cy="4010025"/>
                    </a:xfrm>
                    <a:prstGeom prst="rect">
                      <a:avLst/>
                    </a:prstGeom>
                    <a:noFill/>
                    <a:ln>
                      <a:noFill/>
                    </a:ln>
                  </pic:spPr>
                </pic:pic>
              </a:graphicData>
            </a:graphic>
          </wp:inline>
        </w:drawing>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Реверсна дотація передбачена на рік в сумі 41 659,3 тис. грн. За 9 місяців було вилучено 31 244,5 тис. грн., тобто  100,0% плану.</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Для  відшкодування витрат підприємств за надані пільги на  комунальні послуги іншим категоріям населення (інваліди по зору, почесні громадяни міста, сім’ї загиблих воїнів-афганців, пільги учасникам АТО та членам їх сімей на послуги з утримання будинків і споруд та прибудинкових територій) в міському бюджеті на 2017 рік  передбачено асигнування в сумі 1803,0 тис. грн. Касові видатки за 9 місяців 2017 року склали 1002,9 тис. грн. (55,6 % запланованих річних асигнувань і 97,3% плану на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Видатки із міського бюджету на житлово-комунальне господарство  на 2017 рік визначено в сумі 253 068,2 тис. грн. (з них загальний фонд (видатки споживання) – 176 024,3 тис. грн., спеціальний фонд (бюджет розвитку) – 77 043,9тис.грн.) Видатки на житлово-комунальне господарство розподіляються таким чином: житлове господарство – 15 573,6 тис. грн., благоустрій міста – 65 680,0 тис. грн., фінансова підтримка транспортних та інших комунальних підприємств міста – 116 284,5 тис. грн.,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водовідведення-55 530,1 тис. грн.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Касові видатки за 9 місяців 2017 року на житлово-комунальне господарство склали 141 191,5 тис. грн. (55,8 % запланованих річних асигнувань і 66,7% плану на звітний період), в </w:t>
      </w:r>
      <w:proofErr w:type="spellStart"/>
      <w:r>
        <w:rPr>
          <w:sz w:val="28"/>
          <w:szCs w:val="28"/>
          <w:lang w:val="uk-UA"/>
        </w:rPr>
        <w:t>т.ч</w:t>
      </w:r>
      <w:proofErr w:type="spellEnd"/>
      <w:r>
        <w:rPr>
          <w:sz w:val="28"/>
          <w:szCs w:val="28"/>
          <w:lang w:val="uk-UA"/>
        </w:rPr>
        <w:t xml:space="preserve">. житлове господарство – 7 602,9 тис. грн. (48,8 % річного плану і 79,1% плану на звітний період),  благоустрій міста –46 576,5 тис. грн. (70,9%  від запланованих річних асигнувань і 88,4% плану на звітний період), фінансова підтримка транспортних та інших комунальних підприємств міста – 79 162,4 тис. грн. </w:t>
      </w:r>
      <w:r>
        <w:rPr>
          <w:sz w:val="28"/>
          <w:szCs w:val="28"/>
          <w:lang w:val="uk-UA"/>
        </w:rPr>
        <w:lastRenderedPageBreak/>
        <w:t>(68,1 % річного плану і 85,8% плану на звітний період),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водовідведення- 7 849,7 тис. грн. (для                          КП «</w:t>
      </w:r>
      <w:proofErr w:type="spellStart"/>
      <w:r>
        <w:rPr>
          <w:sz w:val="28"/>
          <w:szCs w:val="28"/>
          <w:lang w:val="uk-UA"/>
        </w:rPr>
        <w:t>Кременчукводоканал</w:t>
      </w:r>
      <w:proofErr w:type="spellEnd"/>
      <w:r>
        <w:rPr>
          <w:sz w:val="28"/>
          <w:szCs w:val="28"/>
          <w:lang w:val="uk-UA"/>
        </w:rPr>
        <w:t>») (14,1 % річного плану і плану на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У видатках на житлово - комунальне господарство передбачено асигнування на оплату робіт по механізованому прибиранню вулиць,  освітленню міста, поточному ремонту доріг, капітальний ремонт житлового фонду місцевих органів влади та житлового фонду об'єднань співвласників багатоквартирних будинків, фінансову підтримку комунальних підприємств.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На проведення робіт, пов'язаних з будівництвом, реконструкцією, ремонтом і утриманням автомобільних доріг на 2017 рік передбачено асигнування в сумі 62 468,1 тис. грн. Касові видатки за 9 місяців 2017 року склали 30 836,4 тис. грн., що складає 49,3% річного плану і 79,7% плану звітного періоду.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Для підтримки засобів масової інформації (газети «Вісник Кременчука» та міської телерадіокомпанії) в міському бюджеті 2017 рік передбачено кошти в сумі 4 150,0 тис. грн., касові видатки за </w:t>
      </w:r>
      <w:proofErr w:type="spellStart"/>
      <w:r>
        <w:rPr>
          <w:sz w:val="28"/>
          <w:szCs w:val="28"/>
          <w:lang w:val="uk-UA"/>
        </w:rPr>
        <w:t>за</w:t>
      </w:r>
      <w:proofErr w:type="spellEnd"/>
      <w:r>
        <w:rPr>
          <w:sz w:val="28"/>
          <w:szCs w:val="28"/>
          <w:lang w:val="uk-UA"/>
        </w:rPr>
        <w:t xml:space="preserve"> 9 місяців 2017 року склали                    3 000,8 тис. грн. (72,3% річного плану і 96,5% плану на звітний період), в </w:t>
      </w:r>
      <w:proofErr w:type="spellStart"/>
      <w:r>
        <w:rPr>
          <w:sz w:val="28"/>
          <w:szCs w:val="28"/>
          <w:lang w:val="uk-UA"/>
        </w:rPr>
        <w:t>т.ч</w:t>
      </w:r>
      <w:proofErr w:type="spellEnd"/>
      <w:r>
        <w:rPr>
          <w:sz w:val="28"/>
          <w:szCs w:val="28"/>
          <w:lang w:val="uk-UA"/>
        </w:rPr>
        <w:t>. для редакції газети «Вісник Кременчука» – 877,6 тис. грн., для міської телерадіокомпанії – 2 123,2 тис. грн.</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На  заходи щодо проведення земельної реформи відповідно до міської програми «Програма реалізації Основних напрямів земельної реформи                        на 2017 р. в м. </w:t>
      </w:r>
      <w:proofErr w:type="spellStart"/>
      <w:r>
        <w:rPr>
          <w:sz w:val="28"/>
          <w:szCs w:val="28"/>
          <w:lang w:val="uk-UA"/>
        </w:rPr>
        <w:t>Кременчуці</w:t>
      </w:r>
      <w:proofErr w:type="spellEnd"/>
      <w:r>
        <w:rPr>
          <w:sz w:val="28"/>
          <w:szCs w:val="28"/>
          <w:lang w:val="uk-UA"/>
        </w:rPr>
        <w:t>» передбачені видатки в сумі 2 520,0 тис. грн., «Програми проведення експертної грошової оцінки земельних ділянок несільськогосподарського призначення, що підлягають продажу на 2017 рік» – 10,7 тис. грн. Касові видатки в звітному періоді склали 10,7 тис. грн. (0,4% річного плану і 0,7% плану на звітний період). Видатки проводились на виконання «Програми проведення  експертної грошової  оцінки земельних ділянок несільськогосподарського призначення, що підлягають продажу на 2017 рік».</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На підтримку малого і середнього підприємництва в бюджеті міста на 2017 рік відповідно до міської програми «Програма розвитку малого підприємництва у м. </w:t>
      </w:r>
      <w:proofErr w:type="spellStart"/>
      <w:r>
        <w:rPr>
          <w:sz w:val="28"/>
          <w:szCs w:val="28"/>
          <w:lang w:val="uk-UA"/>
        </w:rPr>
        <w:t>Кременчуці</w:t>
      </w:r>
      <w:proofErr w:type="spellEnd"/>
      <w:r>
        <w:rPr>
          <w:sz w:val="28"/>
          <w:szCs w:val="28"/>
          <w:lang w:val="uk-UA"/>
        </w:rPr>
        <w:t xml:space="preserve"> на 2015-2017 роки» в загальному фонді міського бюджету передбачено асигнування в сумі 300,0 тис. грн. Касові видатки за звітний період склали 132,7 тис. грн. (44,2% річного плану і 60,0% плану на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За рахунок коштів спеціального фонду бюджету міста (бюджету розвитку) в 2017 році внески міської ради до статутного капіталу суб’єктів господарювання визначені в сумі-26 813,0 тис. грн. Касові видатки у звітному періоді склали 22 747,2 тис. грн., що дорівнює 84,8% річного плану та 100,0% виконання плану за звітний період, в </w:t>
      </w:r>
      <w:proofErr w:type="spellStart"/>
      <w:r>
        <w:rPr>
          <w:sz w:val="28"/>
          <w:szCs w:val="28"/>
          <w:lang w:val="uk-UA"/>
        </w:rPr>
        <w:t>т.ч</w:t>
      </w:r>
      <w:proofErr w:type="spellEnd"/>
      <w:r>
        <w:rPr>
          <w:sz w:val="28"/>
          <w:szCs w:val="28"/>
          <w:lang w:val="uk-UA"/>
        </w:rPr>
        <w:t>.:</w:t>
      </w:r>
    </w:p>
    <w:p w:rsidR="006677B2" w:rsidRDefault="006677B2" w:rsidP="006677B2">
      <w:pPr>
        <w:tabs>
          <w:tab w:val="left" w:pos="709"/>
        </w:tabs>
        <w:suppressAutoHyphens/>
        <w:overflowPunct w:val="0"/>
        <w:autoSpaceDE w:val="0"/>
        <w:autoSpaceDN w:val="0"/>
        <w:adjustRightInd w:val="0"/>
        <w:ind w:firstLine="709"/>
        <w:jc w:val="both"/>
        <w:textAlignment w:val="baseline"/>
        <w:rPr>
          <w:sz w:val="28"/>
          <w:szCs w:val="28"/>
          <w:lang w:val="uk-UA"/>
        </w:rPr>
      </w:pPr>
      <w:r>
        <w:rPr>
          <w:sz w:val="28"/>
          <w:szCs w:val="28"/>
          <w:lang w:val="uk-UA"/>
        </w:rPr>
        <w:t>- комунальному підприємству «</w:t>
      </w:r>
      <w:proofErr w:type="spellStart"/>
      <w:r>
        <w:rPr>
          <w:sz w:val="28"/>
          <w:szCs w:val="28"/>
          <w:lang w:val="uk-UA"/>
        </w:rPr>
        <w:t>Кременчукводоканал</w:t>
      </w:r>
      <w:proofErr w:type="spellEnd"/>
      <w:r>
        <w:rPr>
          <w:sz w:val="28"/>
          <w:szCs w:val="28"/>
          <w:lang w:val="uk-UA"/>
        </w:rPr>
        <w:t xml:space="preserve">» – 15 400,0 тис. грн.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комунальному підприємству КП «</w:t>
      </w:r>
      <w:proofErr w:type="spellStart"/>
      <w:r>
        <w:rPr>
          <w:sz w:val="28"/>
          <w:szCs w:val="28"/>
          <w:lang w:val="uk-UA"/>
        </w:rPr>
        <w:t>Теплоенерго</w:t>
      </w:r>
      <w:proofErr w:type="spellEnd"/>
      <w:r>
        <w:rPr>
          <w:sz w:val="28"/>
          <w:szCs w:val="28"/>
          <w:lang w:val="uk-UA"/>
        </w:rPr>
        <w:t xml:space="preserve">» – 7 747,2 тис. грн.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На будівництво в спеціальному фонді міського бюджету (бюджет розвитку) на 2017 рік передбачено асигнування в сумі  85 450,0 тис. грн.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Касові видатки за 9 місяців 2017 року склали  33 553,5 тис. грн.,  (39,3% річного плану і 46,3% плану на звітний період), в </w:t>
      </w:r>
      <w:proofErr w:type="spellStart"/>
      <w:r>
        <w:rPr>
          <w:sz w:val="28"/>
          <w:szCs w:val="28"/>
          <w:lang w:val="uk-UA"/>
        </w:rPr>
        <w:t>т.ч</w:t>
      </w:r>
      <w:proofErr w:type="spellEnd"/>
      <w:r>
        <w:rPr>
          <w:sz w:val="28"/>
          <w:szCs w:val="28"/>
          <w:lang w:val="uk-UA"/>
        </w:rPr>
        <w:t xml:space="preserve">. </w:t>
      </w:r>
    </w:p>
    <w:p w:rsidR="006677B2" w:rsidRDefault="006677B2" w:rsidP="006677B2">
      <w:pPr>
        <w:widowControl w:val="0"/>
        <w:overflowPunct w:val="0"/>
        <w:autoSpaceDE w:val="0"/>
        <w:autoSpaceDN w:val="0"/>
        <w:adjustRightInd w:val="0"/>
        <w:ind w:firstLine="720"/>
        <w:jc w:val="both"/>
        <w:textAlignment w:val="baseline"/>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тис.грн</w:t>
      </w:r>
      <w:proofErr w:type="spellEnd"/>
      <w:r>
        <w:rPr>
          <w:rFonts w:ascii="Times New Roman CYR" w:hAnsi="Times New Roman CYR" w:cs="Times New Roman CYR"/>
          <w:sz w:val="28"/>
          <w:szCs w:val="28"/>
          <w:lang w:val="uk-UA"/>
        </w:rPr>
        <w:t>.</w:t>
      </w:r>
    </w:p>
    <w:tbl>
      <w:tblPr>
        <w:tblW w:w="9660" w:type="dxa"/>
        <w:tblInd w:w="93" w:type="dxa"/>
        <w:tblLayout w:type="fixed"/>
        <w:tblLook w:val="04A0" w:firstRow="1" w:lastRow="0" w:firstColumn="1" w:lastColumn="0" w:noHBand="0" w:noVBand="1"/>
      </w:tblPr>
      <w:tblGrid>
        <w:gridCol w:w="6965"/>
        <w:gridCol w:w="2695"/>
      </w:tblGrid>
      <w:tr w:rsidR="006677B2" w:rsidTr="006677B2">
        <w:trPr>
          <w:trHeight w:val="315"/>
        </w:trPr>
        <w:tc>
          <w:tcPr>
            <w:tcW w:w="6961" w:type="dxa"/>
            <w:tcBorders>
              <w:top w:val="single" w:sz="4" w:space="0" w:color="auto"/>
              <w:left w:val="single" w:sz="8" w:space="0" w:color="auto"/>
              <w:bottom w:val="single" w:sz="4" w:space="0" w:color="auto"/>
              <w:right w:val="single" w:sz="4" w:space="0" w:color="auto"/>
            </w:tcBorders>
            <w:hideMark/>
          </w:tcPr>
          <w:p w:rsidR="006677B2" w:rsidRDefault="006677B2">
            <w:pPr>
              <w:rPr>
                <w:sz w:val="24"/>
                <w:szCs w:val="24"/>
                <w:lang w:val="uk-UA"/>
              </w:rPr>
            </w:pPr>
            <w:r>
              <w:rPr>
                <w:rFonts w:ascii="Times New Roman CYR" w:hAnsi="Times New Roman CYR" w:cs="Times New Roman CYR"/>
                <w:sz w:val="24"/>
                <w:szCs w:val="24"/>
                <w:lang w:val="uk-UA"/>
              </w:rPr>
              <w:t>Назва об</w:t>
            </w:r>
            <w:r>
              <w:rPr>
                <w:rFonts w:ascii="Times New Roman CYR" w:hAnsi="Times New Roman CYR" w:cs="Times New Roman CYR"/>
                <w:sz w:val="24"/>
                <w:szCs w:val="24"/>
                <w:lang w:val="en-US"/>
              </w:rPr>
              <w:t>’</w:t>
            </w:r>
            <w:proofErr w:type="spellStart"/>
            <w:r>
              <w:rPr>
                <w:rFonts w:ascii="Times New Roman CYR" w:hAnsi="Times New Roman CYR" w:cs="Times New Roman CYR"/>
                <w:sz w:val="24"/>
                <w:szCs w:val="24"/>
                <w:lang w:val="uk-UA"/>
              </w:rPr>
              <w:t>єктів</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rFonts w:ascii="Times New Roman CYR" w:hAnsi="Times New Roman CYR" w:cs="Times New Roman CYR"/>
                <w:sz w:val="24"/>
                <w:szCs w:val="24"/>
                <w:lang w:val="uk-UA"/>
              </w:rPr>
              <w:t>Касові видатки</w:t>
            </w:r>
          </w:p>
        </w:tc>
      </w:tr>
      <w:tr w:rsidR="006677B2" w:rsidTr="006677B2">
        <w:trPr>
          <w:trHeight w:val="315"/>
        </w:trPr>
        <w:tc>
          <w:tcPr>
            <w:tcW w:w="6961" w:type="dxa"/>
            <w:tcBorders>
              <w:top w:val="single" w:sz="4" w:space="0" w:color="auto"/>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скверу «Імені Олега </w:t>
            </w:r>
            <w:proofErr w:type="spellStart"/>
            <w:r>
              <w:rPr>
                <w:sz w:val="24"/>
                <w:szCs w:val="24"/>
                <w:lang w:val="uk-UA"/>
              </w:rPr>
              <w:t>Бабаєва</w:t>
            </w:r>
            <w:proofErr w:type="spellEnd"/>
            <w:r>
              <w:rPr>
                <w:sz w:val="24"/>
                <w:szCs w:val="24"/>
                <w:lang w:val="uk-UA"/>
              </w:rPr>
              <w:t xml:space="preserve">»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100,0</w:t>
            </w:r>
          </w:p>
        </w:tc>
      </w:tr>
      <w:tr w:rsidR="006677B2" w:rsidTr="006677B2">
        <w:trPr>
          <w:trHeight w:val="600"/>
        </w:trPr>
        <w:tc>
          <w:tcPr>
            <w:tcW w:w="6961" w:type="dxa"/>
            <w:tcBorders>
              <w:top w:val="nil"/>
              <w:left w:val="single" w:sz="8" w:space="0" w:color="auto"/>
              <w:bottom w:val="single" w:sz="4" w:space="0" w:color="auto"/>
              <w:right w:val="single" w:sz="4" w:space="0" w:color="auto"/>
            </w:tcBorders>
            <w:vAlign w:val="center"/>
            <w:hideMark/>
          </w:tcPr>
          <w:p w:rsidR="006677B2" w:rsidRDefault="006677B2">
            <w:pPr>
              <w:rPr>
                <w:sz w:val="24"/>
                <w:szCs w:val="24"/>
                <w:lang w:val="uk-UA"/>
              </w:rPr>
            </w:pPr>
            <w:r>
              <w:rPr>
                <w:sz w:val="24"/>
                <w:szCs w:val="24"/>
                <w:lang w:val="uk-UA"/>
              </w:rPr>
              <w:t xml:space="preserve">Реконструкція міського парку культури та відпочинку «Придніпровський»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2 787,9</w:t>
            </w:r>
          </w:p>
        </w:tc>
      </w:tr>
      <w:tr w:rsidR="006677B2" w:rsidTr="006677B2">
        <w:trPr>
          <w:trHeight w:val="600"/>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 xml:space="preserve">Будівництво адміністративної будівлі по вул. Княгині Ольги,3 (попередня назва - </w:t>
            </w:r>
            <w:proofErr w:type="spellStart"/>
            <w:r>
              <w:rPr>
                <w:sz w:val="24"/>
                <w:szCs w:val="24"/>
                <w:lang w:val="uk-UA"/>
              </w:rPr>
              <w:t>вул.Червоних</w:t>
            </w:r>
            <w:proofErr w:type="spellEnd"/>
            <w:r>
              <w:rPr>
                <w:sz w:val="24"/>
                <w:szCs w:val="24"/>
                <w:lang w:val="uk-UA"/>
              </w:rPr>
              <w:t xml:space="preserve"> Слідопитів) у </w:t>
            </w:r>
            <w:proofErr w:type="spellStart"/>
            <w:r>
              <w:rPr>
                <w:sz w:val="24"/>
                <w:szCs w:val="24"/>
                <w:lang w:val="uk-UA"/>
              </w:rPr>
              <w:t>м.Кременчуці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3 691,7</w:t>
            </w:r>
          </w:p>
        </w:tc>
      </w:tr>
      <w:tr w:rsidR="006677B2" w:rsidTr="006677B2">
        <w:trPr>
          <w:trHeight w:val="600"/>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 xml:space="preserve">Комплексний благоустрій території в районі житлового будинку №1 по вул. Генерала </w:t>
            </w:r>
            <w:proofErr w:type="spellStart"/>
            <w:r>
              <w:rPr>
                <w:sz w:val="24"/>
                <w:szCs w:val="24"/>
                <w:lang w:val="uk-UA"/>
              </w:rPr>
              <w:t>Манагарова</w:t>
            </w:r>
            <w:proofErr w:type="spellEnd"/>
            <w:r>
              <w:rPr>
                <w:sz w:val="24"/>
                <w:szCs w:val="24"/>
                <w:lang w:val="uk-UA"/>
              </w:rPr>
              <w:t xml:space="preserve"> в </w:t>
            </w:r>
            <w:proofErr w:type="spellStart"/>
            <w:r>
              <w:rPr>
                <w:sz w:val="24"/>
                <w:szCs w:val="24"/>
                <w:lang w:val="uk-UA"/>
              </w:rPr>
              <w:t>м.Кременчуці</w:t>
            </w:r>
            <w:proofErr w:type="spellEnd"/>
            <w:r>
              <w:rPr>
                <w:sz w:val="24"/>
                <w:szCs w:val="24"/>
                <w:lang w:val="uk-UA"/>
              </w:rPr>
              <w:t xml:space="preserve"> (нове будівництво)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1 632,1</w:t>
            </w:r>
          </w:p>
        </w:tc>
      </w:tr>
      <w:tr w:rsidR="006677B2" w:rsidTr="006677B2">
        <w:trPr>
          <w:trHeight w:val="600"/>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 xml:space="preserve">Реконструкція будівлі під центр муніципальних послуг по </w:t>
            </w:r>
            <w:r w:rsidR="006055BB">
              <w:rPr>
                <w:sz w:val="24"/>
                <w:szCs w:val="24"/>
                <w:lang w:val="uk-UA"/>
              </w:rPr>
              <w:t xml:space="preserve">             </w:t>
            </w:r>
            <w:r>
              <w:rPr>
                <w:sz w:val="24"/>
                <w:szCs w:val="24"/>
                <w:lang w:val="uk-UA"/>
              </w:rPr>
              <w:t xml:space="preserve">вул. Гагаріна,14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12 780,5</w:t>
            </w:r>
          </w:p>
        </w:tc>
      </w:tr>
      <w:tr w:rsidR="006677B2" w:rsidTr="006677B2">
        <w:trPr>
          <w:trHeight w:val="315"/>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Будівництво  міського архіву по вул.Гагаріна,14  в </w:t>
            </w:r>
            <w:proofErr w:type="spellStart"/>
            <w:r>
              <w:rPr>
                <w:sz w:val="24"/>
                <w:szCs w:val="24"/>
                <w:lang w:val="uk-UA"/>
              </w:rPr>
              <w:t>м.Кременчуці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200,7</w:t>
            </w:r>
          </w:p>
        </w:tc>
      </w:tr>
      <w:tr w:rsidR="006677B2" w:rsidTr="006677B2">
        <w:trPr>
          <w:trHeight w:val="315"/>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 xml:space="preserve">Реконструкція  будівель  Кременчуцького краєзнавчого  музею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589,1</w:t>
            </w:r>
          </w:p>
        </w:tc>
      </w:tr>
      <w:tr w:rsidR="006677B2" w:rsidTr="006677B2">
        <w:trPr>
          <w:trHeight w:val="9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Реконструкція будівель Кременчуцького краєзнавчого музею. Роботи по усуненню недоліків, які виникли в результаті неналежного виконання робіт підрядником.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3,6</w:t>
            </w: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каналізаційної насосної   станції   СП-17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721,6</w:t>
            </w: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(винос)  мереж ЛЕП 10 кВт за межі гаражної забудови в </w:t>
            </w:r>
            <w:proofErr w:type="spellStart"/>
            <w:r>
              <w:rPr>
                <w:sz w:val="24"/>
                <w:szCs w:val="24"/>
                <w:lang w:val="uk-UA"/>
              </w:rPr>
              <w:t>кв</w:t>
            </w:r>
            <w:proofErr w:type="spellEnd"/>
            <w:r>
              <w:rPr>
                <w:sz w:val="24"/>
                <w:szCs w:val="24"/>
                <w:lang w:val="uk-UA"/>
              </w:rPr>
              <w:t xml:space="preserve">. 285 </w:t>
            </w:r>
            <w:proofErr w:type="spellStart"/>
            <w:r>
              <w:rPr>
                <w:sz w:val="24"/>
                <w:szCs w:val="24"/>
                <w:lang w:val="uk-UA"/>
              </w:rPr>
              <w:t>м.Кременчука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23,2</w:t>
            </w:r>
          </w:p>
        </w:tc>
      </w:tr>
      <w:tr w:rsidR="006677B2" w:rsidTr="006677B2">
        <w:trPr>
          <w:trHeight w:val="9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Проектування та реконструкція </w:t>
            </w:r>
            <w:proofErr w:type="spellStart"/>
            <w:r>
              <w:rPr>
                <w:sz w:val="24"/>
                <w:szCs w:val="24"/>
                <w:lang w:val="uk-UA"/>
              </w:rPr>
              <w:t>внутрішньобудинкових</w:t>
            </w:r>
            <w:proofErr w:type="spellEnd"/>
            <w:r>
              <w:rPr>
                <w:sz w:val="24"/>
                <w:szCs w:val="24"/>
                <w:lang w:val="uk-UA"/>
              </w:rPr>
              <w:t xml:space="preserve"> електромереж  житлових будинків №№ 1, 3, 5, 7 по вул. Яровій в </w:t>
            </w:r>
            <w:proofErr w:type="spellStart"/>
            <w:r>
              <w:rPr>
                <w:sz w:val="24"/>
                <w:szCs w:val="24"/>
                <w:lang w:val="uk-UA"/>
              </w:rPr>
              <w:t>м.Кременчуці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1,6</w:t>
            </w: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нежитлових приміщень по вул. Героїв України, 11А в </w:t>
            </w:r>
            <w:proofErr w:type="spellStart"/>
            <w:r>
              <w:rPr>
                <w:sz w:val="24"/>
                <w:szCs w:val="24"/>
                <w:lang w:val="uk-UA"/>
              </w:rPr>
              <w:t>м.Кременчуці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6677B2" w:rsidRDefault="006677B2">
            <w:pPr>
              <w:overflowPunct w:val="0"/>
              <w:autoSpaceDE w:val="0"/>
              <w:autoSpaceDN w:val="0"/>
              <w:adjustRightInd w:val="0"/>
              <w:jc w:val="center"/>
              <w:textAlignment w:val="baseline"/>
              <w:rPr>
                <w:sz w:val="24"/>
                <w:lang w:val="uk-UA"/>
              </w:rPr>
            </w:pPr>
            <w:r>
              <w:rPr>
                <w:sz w:val="24"/>
                <w:lang w:val="uk-UA"/>
              </w:rPr>
              <w:t>389,2</w:t>
            </w:r>
          </w:p>
          <w:p w:rsidR="006677B2" w:rsidRDefault="006677B2">
            <w:pPr>
              <w:overflowPunct w:val="0"/>
              <w:autoSpaceDE w:val="0"/>
              <w:autoSpaceDN w:val="0"/>
              <w:adjustRightInd w:val="0"/>
              <w:jc w:val="center"/>
              <w:textAlignment w:val="baseline"/>
              <w:rPr>
                <w:sz w:val="24"/>
                <w:szCs w:val="24"/>
                <w:lang w:val="uk-UA"/>
              </w:rPr>
            </w:pP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об’єкту «Поліпшення технічного стану та благоустрій ставка в парку «Міський сад» в м. </w:t>
            </w:r>
            <w:proofErr w:type="spellStart"/>
            <w:r>
              <w:rPr>
                <w:sz w:val="24"/>
                <w:szCs w:val="24"/>
                <w:lang w:val="uk-UA"/>
              </w:rPr>
              <w:t>Кременчуці</w:t>
            </w:r>
            <w:proofErr w:type="spellEnd"/>
            <w:r>
              <w:rPr>
                <w:sz w:val="24"/>
                <w:szCs w:val="24"/>
                <w:lang w:val="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603,8</w:t>
            </w: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системи водовідведення від житлового будинку №80 по вул. Мічуріна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16,5</w:t>
            </w:r>
          </w:p>
        </w:tc>
      </w:tr>
      <w:tr w:rsidR="006677B2" w:rsidTr="006677B2">
        <w:trPr>
          <w:trHeight w:val="9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Будівництво каналізаційної мережі від середньої школи №3 по вул. Мічуріна,28 та дошкільного з</w:t>
            </w:r>
            <w:r w:rsidR="006055BB">
              <w:rPr>
                <w:sz w:val="24"/>
                <w:szCs w:val="24"/>
                <w:lang w:val="uk-UA"/>
              </w:rPr>
              <w:t>акладу №24 по  вул. Мічуріна,30</w:t>
            </w:r>
            <w:r>
              <w:rPr>
                <w:sz w:val="24"/>
                <w:szCs w:val="24"/>
                <w:lang w:val="uk-UA"/>
              </w:rPr>
              <w:t xml:space="preserve"> до будинку №76 по вул. Мічуріна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7,4</w:t>
            </w:r>
          </w:p>
        </w:tc>
      </w:tr>
      <w:tr w:rsidR="006677B2" w:rsidTr="006677B2">
        <w:trPr>
          <w:trHeight w:val="600"/>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 xml:space="preserve">Реконструкція дитячого садка по вул. Генерала </w:t>
            </w:r>
            <w:proofErr w:type="spellStart"/>
            <w:r>
              <w:rPr>
                <w:sz w:val="24"/>
                <w:szCs w:val="24"/>
                <w:lang w:val="uk-UA"/>
              </w:rPr>
              <w:t>Манагарова</w:t>
            </w:r>
            <w:proofErr w:type="spellEnd"/>
            <w:r>
              <w:rPr>
                <w:sz w:val="24"/>
                <w:szCs w:val="24"/>
                <w:lang w:val="uk-UA"/>
              </w:rPr>
              <w:t xml:space="preserve">, 5-А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1 239,1</w:t>
            </w:r>
          </w:p>
        </w:tc>
      </w:tr>
      <w:tr w:rsidR="006677B2" w:rsidTr="006677B2">
        <w:trPr>
          <w:trHeight w:val="630"/>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Реконструкція електромереж зовнішнього освітлення центральної алеї міського парку культури і відпочинку «Придніпровській»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12,5</w:t>
            </w:r>
          </w:p>
        </w:tc>
      </w:tr>
      <w:tr w:rsidR="006677B2" w:rsidTr="006677B2">
        <w:trPr>
          <w:trHeight w:val="600"/>
        </w:trPr>
        <w:tc>
          <w:tcPr>
            <w:tcW w:w="6961" w:type="dxa"/>
            <w:tcBorders>
              <w:top w:val="nil"/>
              <w:left w:val="single" w:sz="8" w:space="0" w:color="auto"/>
              <w:bottom w:val="single" w:sz="4" w:space="0" w:color="auto"/>
              <w:right w:val="single" w:sz="4" w:space="0" w:color="auto"/>
            </w:tcBorders>
            <w:vAlign w:val="center"/>
            <w:hideMark/>
          </w:tcPr>
          <w:p w:rsidR="006677B2" w:rsidRDefault="006677B2">
            <w:pPr>
              <w:rPr>
                <w:sz w:val="24"/>
                <w:szCs w:val="24"/>
                <w:lang w:val="uk-UA"/>
              </w:rPr>
            </w:pPr>
            <w:r>
              <w:rPr>
                <w:sz w:val="24"/>
                <w:szCs w:val="24"/>
                <w:lang w:val="uk-UA"/>
              </w:rPr>
              <w:t xml:space="preserve">Субвенція з обласного бюджету на будівництво дитячих майданчиків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538,5</w:t>
            </w:r>
          </w:p>
        </w:tc>
      </w:tr>
      <w:tr w:rsidR="006677B2" w:rsidTr="006677B2">
        <w:trPr>
          <w:trHeight w:val="975"/>
        </w:trPr>
        <w:tc>
          <w:tcPr>
            <w:tcW w:w="6961" w:type="dxa"/>
            <w:tcBorders>
              <w:top w:val="single" w:sz="4" w:space="0" w:color="auto"/>
              <w:left w:val="single" w:sz="8" w:space="0" w:color="auto"/>
              <w:bottom w:val="single" w:sz="4" w:space="0" w:color="auto"/>
              <w:right w:val="single" w:sz="4" w:space="0" w:color="auto"/>
            </w:tcBorders>
            <w:vAlign w:val="center"/>
            <w:hideMark/>
          </w:tcPr>
          <w:p w:rsidR="006677B2" w:rsidRDefault="006677B2">
            <w:pPr>
              <w:rPr>
                <w:sz w:val="24"/>
                <w:szCs w:val="24"/>
                <w:lang w:val="uk-UA"/>
              </w:rPr>
            </w:pPr>
            <w:r>
              <w:rPr>
                <w:sz w:val="24"/>
                <w:szCs w:val="24"/>
                <w:lang w:val="uk-UA"/>
              </w:rPr>
              <w:t xml:space="preserve">Міський футбольний клуб </w:t>
            </w:r>
            <w:r w:rsidR="00435B73">
              <w:rPr>
                <w:sz w:val="24"/>
                <w:szCs w:val="24"/>
                <w:lang w:val="uk-UA"/>
              </w:rPr>
              <w:t xml:space="preserve"> «</w:t>
            </w:r>
            <w:r>
              <w:rPr>
                <w:sz w:val="24"/>
                <w:szCs w:val="24"/>
                <w:lang w:val="uk-UA"/>
              </w:rPr>
              <w:t>Кремінь</w:t>
            </w:r>
            <w:r w:rsidR="00435B73">
              <w:rPr>
                <w:sz w:val="24"/>
                <w:szCs w:val="24"/>
                <w:lang w:val="uk-UA"/>
              </w:rPr>
              <w:t>».</w:t>
            </w:r>
            <w:r>
              <w:rPr>
                <w:sz w:val="24"/>
                <w:szCs w:val="24"/>
                <w:lang w:val="uk-UA"/>
              </w:rPr>
              <w:t xml:space="preserve"> Розробка проектно-кошторисної документації на реконструкцію комунального стадіону по вул.Гагаріна,26-а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114,7</w:t>
            </w:r>
          </w:p>
        </w:tc>
      </w:tr>
      <w:tr w:rsidR="006677B2" w:rsidTr="006677B2">
        <w:trPr>
          <w:trHeight w:val="419"/>
        </w:trPr>
        <w:tc>
          <w:tcPr>
            <w:tcW w:w="6961" w:type="dxa"/>
            <w:tcBorders>
              <w:top w:val="nil"/>
              <w:left w:val="single" w:sz="8" w:space="0" w:color="auto"/>
              <w:bottom w:val="single" w:sz="4" w:space="0" w:color="auto"/>
              <w:right w:val="single" w:sz="4" w:space="0" w:color="auto"/>
            </w:tcBorders>
            <w:vAlign w:val="center"/>
            <w:hideMark/>
          </w:tcPr>
          <w:p w:rsidR="006677B2" w:rsidRDefault="006677B2">
            <w:pPr>
              <w:rPr>
                <w:sz w:val="24"/>
                <w:szCs w:val="24"/>
                <w:lang w:val="uk-UA"/>
              </w:rPr>
            </w:pPr>
            <w:r>
              <w:rPr>
                <w:sz w:val="24"/>
                <w:szCs w:val="24"/>
                <w:lang w:val="uk-UA"/>
              </w:rPr>
              <w:t>Будівництво спортивних майданчиків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50,9</w:t>
            </w:r>
          </w:p>
        </w:tc>
      </w:tr>
      <w:tr w:rsidR="006677B2" w:rsidTr="006677B2">
        <w:trPr>
          <w:trHeight w:val="551"/>
        </w:trPr>
        <w:tc>
          <w:tcPr>
            <w:tcW w:w="6961" w:type="dxa"/>
            <w:tcBorders>
              <w:top w:val="single" w:sz="4" w:space="0" w:color="auto"/>
              <w:left w:val="single" w:sz="4" w:space="0" w:color="auto"/>
              <w:bottom w:val="single" w:sz="4" w:space="0" w:color="auto"/>
              <w:right w:val="single" w:sz="4" w:space="0" w:color="auto"/>
            </w:tcBorders>
            <w:vAlign w:val="center"/>
            <w:hideMark/>
          </w:tcPr>
          <w:p w:rsidR="006677B2" w:rsidRDefault="006677B2" w:rsidP="00435B73">
            <w:pPr>
              <w:overflowPunct w:val="0"/>
              <w:autoSpaceDE w:val="0"/>
              <w:autoSpaceDN w:val="0"/>
              <w:adjustRightInd w:val="0"/>
              <w:textAlignment w:val="baseline"/>
              <w:rPr>
                <w:sz w:val="24"/>
                <w:szCs w:val="24"/>
                <w:lang w:val="uk-UA"/>
              </w:rPr>
            </w:pPr>
            <w:r>
              <w:rPr>
                <w:sz w:val="24"/>
                <w:szCs w:val="24"/>
                <w:lang w:val="uk-UA"/>
              </w:rPr>
              <w:t>Проектно-кошторисна документація на про</w:t>
            </w:r>
            <w:r w:rsidR="00435B73">
              <w:rPr>
                <w:sz w:val="24"/>
                <w:szCs w:val="24"/>
                <w:lang w:val="uk-UA"/>
              </w:rPr>
              <w:t xml:space="preserve">ведення </w:t>
            </w:r>
            <w:r>
              <w:rPr>
                <w:sz w:val="24"/>
                <w:szCs w:val="24"/>
                <w:lang w:val="uk-UA"/>
              </w:rPr>
              <w:t>реконструкції</w:t>
            </w:r>
            <w:r w:rsidR="00435B73">
              <w:rPr>
                <w:sz w:val="24"/>
                <w:szCs w:val="24"/>
                <w:lang w:val="uk-UA"/>
              </w:rPr>
              <w:t xml:space="preserve">. </w:t>
            </w:r>
            <w:r>
              <w:rPr>
                <w:sz w:val="24"/>
                <w:szCs w:val="24"/>
                <w:lang w:val="uk-UA"/>
              </w:rPr>
              <w:t xml:space="preserve"> Виготовл</w:t>
            </w:r>
            <w:r w:rsidR="00435B73">
              <w:rPr>
                <w:sz w:val="24"/>
                <w:szCs w:val="24"/>
                <w:lang w:val="uk-UA"/>
              </w:rPr>
              <w:t xml:space="preserve">ення проектно-кошторисної документації на проведення </w:t>
            </w:r>
            <w:r>
              <w:rPr>
                <w:sz w:val="24"/>
                <w:szCs w:val="24"/>
                <w:lang w:val="uk-UA"/>
              </w:rPr>
              <w:t>реконструкції Ш корпусу Кременчуцького міського Центру соціальної реабілітації дітей-інвалідів по вул.Приходька,6</w:t>
            </w:r>
          </w:p>
        </w:tc>
        <w:tc>
          <w:tcPr>
            <w:tcW w:w="2693" w:type="dxa"/>
            <w:tcBorders>
              <w:top w:val="single" w:sz="4" w:space="0" w:color="auto"/>
              <w:left w:val="single" w:sz="4" w:space="0" w:color="auto"/>
              <w:bottom w:val="single" w:sz="4" w:space="0" w:color="auto"/>
              <w:right w:val="single" w:sz="4" w:space="0" w:color="auto"/>
            </w:tcBorders>
            <w:vAlign w:val="center"/>
          </w:tcPr>
          <w:p w:rsidR="006677B2" w:rsidRDefault="006677B2">
            <w:pPr>
              <w:overflowPunct w:val="0"/>
              <w:autoSpaceDE w:val="0"/>
              <w:autoSpaceDN w:val="0"/>
              <w:adjustRightInd w:val="0"/>
              <w:jc w:val="center"/>
              <w:textAlignment w:val="baseline"/>
              <w:rPr>
                <w:sz w:val="24"/>
                <w:lang w:val="uk-UA"/>
              </w:rPr>
            </w:pPr>
            <w:r>
              <w:rPr>
                <w:sz w:val="24"/>
                <w:lang w:val="uk-UA"/>
              </w:rPr>
              <w:t>200,0</w:t>
            </w:r>
          </w:p>
          <w:p w:rsidR="006677B2" w:rsidRDefault="006677B2">
            <w:pPr>
              <w:overflowPunct w:val="0"/>
              <w:autoSpaceDE w:val="0"/>
              <w:autoSpaceDN w:val="0"/>
              <w:adjustRightInd w:val="0"/>
              <w:jc w:val="center"/>
              <w:textAlignment w:val="baseline"/>
              <w:rPr>
                <w:sz w:val="24"/>
                <w:lang w:val="uk-UA"/>
              </w:rPr>
            </w:pPr>
          </w:p>
        </w:tc>
      </w:tr>
      <w:tr w:rsidR="006677B2" w:rsidTr="006677B2">
        <w:trPr>
          <w:trHeight w:val="692"/>
        </w:trPr>
        <w:tc>
          <w:tcPr>
            <w:tcW w:w="6961"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textAlignment w:val="baseline"/>
              <w:rPr>
                <w:sz w:val="24"/>
                <w:szCs w:val="24"/>
                <w:lang w:val="uk-UA"/>
              </w:rPr>
            </w:pPr>
            <w:r>
              <w:rPr>
                <w:sz w:val="24"/>
                <w:szCs w:val="24"/>
                <w:lang w:val="uk-UA"/>
              </w:rPr>
              <w:lastRenderedPageBreak/>
              <w:t xml:space="preserve">Проектування та будівництво дитячого майданчика в комунальному закладі культури «Парк </w:t>
            </w:r>
            <w:proofErr w:type="spellStart"/>
            <w:r>
              <w:rPr>
                <w:sz w:val="24"/>
                <w:szCs w:val="24"/>
                <w:lang w:val="uk-UA"/>
              </w:rPr>
              <w:t>Крюківський</w:t>
            </w:r>
            <w:proofErr w:type="spellEnd"/>
            <w:r>
              <w:rPr>
                <w:sz w:val="24"/>
                <w:szCs w:val="24"/>
                <w:lang w:val="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lang w:val="uk-UA"/>
              </w:rPr>
            </w:pPr>
            <w:r>
              <w:rPr>
                <w:sz w:val="24"/>
                <w:lang w:val="uk-UA"/>
              </w:rPr>
              <w:t>275,2</w:t>
            </w:r>
          </w:p>
        </w:tc>
      </w:tr>
      <w:tr w:rsidR="006677B2" w:rsidTr="006677B2">
        <w:trPr>
          <w:trHeight w:val="600"/>
        </w:trPr>
        <w:tc>
          <w:tcPr>
            <w:tcW w:w="6961" w:type="dxa"/>
            <w:tcBorders>
              <w:top w:val="single" w:sz="4" w:space="0" w:color="auto"/>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Реконст</w:t>
            </w:r>
            <w:r w:rsidR="00435B73">
              <w:rPr>
                <w:sz w:val="24"/>
                <w:szCs w:val="24"/>
                <w:lang w:val="uk-UA"/>
              </w:rPr>
              <w:t>р</w:t>
            </w:r>
            <w:r>
              <w:rPr>
                <w:sz w:val="24"/>
                <w:szCs w:val="24"/>
                <w:lang w:val="uk-UA"/>
              </w:rPr>
              <w:t xml:space="preserve">укція (улаштування) теплоізоляції фасадів житлових будинків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1 391,9</w:t>
            </w:r>
          </w:p>
        </w:tc>
      </w:tr>
      <w:tr w:rsidR="006677B2" w:rsidTr="006677B2">
        <w:trPr>
          <w:trHeight w:val="3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Реконст</w:t>
            </w:r>
            <w:r w:rsidR="00435B73">
              <w:rPr>
                <w:sz w:val="24"/>
                <w:szCs w:val="24"/>
                <w:lang w:val="uk-UA"/>
              </w:rPr>
              <w:t>р</w:t>
            </w:r>
            <w:r>
              <w:rPr>
                <w:sz w:val="24"/>
                <w:szCs w:val="24"/>
                <w:lang w:val="uk-UA"/>
              </w:rPr>
              <w:t xml:space="preserve">укція шиферних покрівель житлових будинків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575,6</w:t>
            </w:r>
          </w:p>
        </w:tc>
      </w:tr>
      <w:tr w:rsidR="006677B2" w:rsidTr="006677B2">
        <w:trPr>
          <w:trHeight w:val="1054"/>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Влаштування нових дитячих ігрових майданчиків на прибудинкових територіях житлових будинків м. Кременчука (відповідно до Міської програми влаштування нових дитячих ігрових майданчиків на 2013 – 2018 роки)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468,7</w:t>
            </w:r>
          </w:p>
        </w:tc>
      </w:tr>
      <w:tr w:rsidR="006677B2" w:rsidTr="006677B2">
        <w:trPr>
          <w:trHeight w:val="900"/>
        </w:trPr>
        <w:tc>
          <w:tcPr>
            <w:tcW w:w="6961" w:type="dxa"/>
            <w:tcBorders>
              <w:top w:val="nil"/>
              <w:left w:val="single" w:sz="8" w:space="0" w:color="auto"/>
              <w:bottom w:val="single" w:sz="4" w:space="0" w:color="auto"/>
              <w:right w:val="single" w:sz="4" w:space="0" w:color="auto"/>
            </w:tcBorders>
            <w:vAlign w:val="bottom"/>
            <w:hideMark/>
          </w:tcPr>
          <w:p w:rsidR="006677B2" w:rsidRDefault="006677B2">
            <w:pPr>
              <w:rPr>
                <w:sz w:val="24"/>
                <w:szCs w:val="24"/>
                <w:lang w:val="uk-UA"/>
              </w:rPr>
            </w:pPr>
            <w:r>
              <w:rPr>
                <w:sz w:val="24"/>
                <w:szCs w:val="24"/>
                <w:lang w:val="uk-UA"/>
              </w:rPr>
              <w:t xml:space="preserve">Проект та виконання робіт по об'єкту «Облаштування перехрестя вулиць Європейської та Чкалова в м. </w:t>
            </w:r>
            <w:proofErr w:type="spellStart"/>
            <w:r>
              <w:rPr>
                <w:sz w:val="24"/>
                <w:szCs w:val="24"/>
                <w:lang w:val="uk-UA"/>
              </w:rPr>
              <w:t>Кременчуці</w:t>
            </w:r>
            <w:proofErr w:type="spellEnd"/>
            <w:r>
              <w:rPr>
                <w:sz w:val="24"/>
                <w:szCs w:val="24"/>
                <w:lang w:val="uk-UA"/>
              </w:rPr>
              <w:t xml:space="preserve"> світлофорним об'єктом»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371,3</w:t>
            </w:r>
          </w:p>
        </w:tc>
      </w:tr>
      <w:tr w:rsidR="006677B2" w:rsidTr="006677B2">
        <w:trPr>
          <w:trHeight w:val="3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Будівництво сектору А 5-ої черги </w:t>
            </w:r>
            <w:proofErr w:type="spellStart"/>
            <w:r>
              <w:rPr>
                <w:sz w:val="24"/>
                <w:szCs w:val="24"/>
                <w:lang w:val="uk-UA"/>
              </w:rPr>
              <w:t>Свіштовського</w:t>
            </w:r>
            <w:proofErr w:type="spellEnd"/>
            <w:r>
              <w:rPr>
                <w:sz w:val="24"/>
                <w:szCs w:val="24"/>
                <w:lang w:val="uk-UA"/>
              </w:rPr>
              <w:t xml:space="preserve"> кладовища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2 382,5</w:t>
            </w:r>
          </w:p>
        </w:tc>
      </w:tr>
      <w:tr w:rsidR="006677B2" w:rsidTr="006677B2">
        <w:trPr>
          <w:trHeight w:val="9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Виконання робіт по об’єкту з «Реконструкції (улаштування) теплоізоляції фасаду житлового будинку №25  по проспекту Лесі Українки в м. </w:t>
            </w:r>
            <w:proofErr w:type="spellStart"/>
            <w:r>
              <w:rPr>
                <w:sz w:val="24"/>
                <w:szCs w:val="24"/>
                <w:lang w:val="uk-UA"/>
              </w:rPr>
              <w:t>Кременчуці</w:t>
            </w:r>
            <w:proofErr w:type="spellEnd"/>
            <w:r>
              <w:rPr>
                <w:sz w:val="24"/>
                <w:szCs w:val="24"/>
                <w:lang w:val="uk-U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293,8</w:t>
            </w:r>
          </w:p>
        </w:tc>
      </w:tr>
      <w:tr w:rsidR="006677B2" w:rsidTr="006677B2">
        <w:trPr>
          <w:trHeight w:val="9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Будівництво системи крапельного поливу об’єкту благоустрою зеленої зони круг-розворот на пивзаводі  (КП «Благоустрій Кременчука»)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150,0</w:t>
            </w:r>
          </w:p>
        </w:tc>
      </w:tr>
      <w:tr w:rsidR="006677B2" w:rsidTr="006677B2">
        <w:trPr>
          <w:trHeight w:val="589"/>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Будівництво електромереж зовнішнього освітлення бульвару </w:t>
            </w:r>
            <w:proofErr w:type="spellStart"/>
            <w:r>
              <w:rPr>
                <w:sz w:val="24"/>
                <w:szCs w:val="24"/>
                <w:lang w:val="uk-UA"/>
              </w:rPr>
              <w:t>Автокразівського</w:t>
            </w:r>
            <w:proofErr w:type="spellEnd"/>
            <w:r>
              <w:rPr>
                <w:sz w:val="24"/>
                <w:szCs w:val="24"/>
                <w:lang w:val="uk-UA"/>
              </w:rPr>
              <w:t xml:space="preserve">  в </w:t>
            </w:r>
            <w:proofErr w:type="spellStart"/>
            <w:r>
              <w:rPr>
                <w:sz w:val="24"/>
                <w:szCs w:val="24"/>
                <w:lang w:val="uk-UA"/>
              </w:rPr>
              <w:t>м.Кременчуці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8,6</w:t>
            </w:r>
          </w:p>
        </w:tc>
      </w:tr>
      <w:tr w:rsidR="006677B2" w:rsidTr="006677B2">
        <w:trPr>
          <w:trHeight w:val="555"/>
        </w:trPr>
        <w:tc>
          <w:tcPr>
            <w:tcW w:w="6961" w:type="dxa"/>
            <w:tcBorders>
              <w:top w:val="nil"/>
              <w:left w:val="single" w:sz="8" w:space="0" w:color="auto"/>
              <w:bottom w:val="single" w:sz="4" w:space="0" w:color="auto"/>
              <w:right w:val="single" w:sz="4" w:space="0" w:color="auto"/>
            </w:tcBorders>
            <w:hideMark/>
          </w:tcPr>
          <w:p w:rsidR="006677B2" w:rsidRDefault="00D53385">
            <w:pPr>
              <w:rPr>
                <w:sz w:val="24"/>
                <w:szCs w:val="24"/>
                <w:lang w:val="uk-UA"/>
              </w:rPr>
            </w:pPr>
            <w:r>
              <w:rPr>
                <w:sz w:val="24"/>
                <w:szCs w:val="24"/>
                <w:lang w:val="uk-UA"/>
              </w:rPr>
              <w:t>Громадський бюджет</w:t>
            </w:r>
            <w:r w:rsidR="006677B2">
              <w:rPr>
                <w:sz w:val="24"/>
                <w:szCs w:val="24"/>
                <w:lang w:val="uk-UA"/>
              </w:rPr>
              <w:t>,</w:t>
            </w:r>
            <w:r>
              <w:rPr>
                <w:sz w:val="24"/>
                <w:szCs w:val="24"/>
                <w:lang w:val="uk-UA"/>
              </w:rPr>
              <w:t xml:space="preserve"> </w:t>
            </w:r>
            <w:r w:rsidR="006677B2">
              <w:rPr>
                <w:sz w:val="24"/>
                <w:szCs w:val="24"/>
                <w:lang w:val="uk-UA"/>
              </w:rPr>
              <w:t>реконст</w:t>
            </w:r>
            <w:r w:rsidR="006055BB">
              <w:rPr>
                <w:sz w:val="24"/>
                <w:szCs w:val="24"/>
                <w:lang w:val="uk-UA"/>
              </w:rPr>
              <w:t>р</w:t>
            </w:r>
            <w:r w:rsidR="006677B2">
              <w:rPr>
                <w:sz w:val="24"/>
                <w:szCs w:val="24"/>
                <w:lang w:val="uk-UA"/>
              </w:rPr>
              <w:t xml:space="preserve">укція електромереж по </w:t>
            </w:r>
            <w:r w:rsidR="006055BB">
              <w:rPr>
                <w:sz w:val="24"/>
                <w:szCs w:val="24"/>
                <w:lang w:val="uk-UA"/>
              </w:rPr>
              <w:t xml:space="preserve">                 </w:t>
            </w:r>
            <w:proofErr w:type="spellStart"/>
            <w:r w:rsidR="006677B2">
              <w:rPr>
                <w:sz w:val="24"/>
                <w:szCs w:val="24"/>
                <w:lang w:val="uk-UA"/>
              </w:rPr>
              <w:t>провул</w:t>
            </w:r>
            <w:proofErr w:type="spellEnd"/>
            <w:r w:rsidR="006677B2">
              <w:rPr>
                <w:sz w:val="24"/>
                <w:szCs w:val="24"/>
                <w:lang w:val="uk-UA"/>
              </w:rPr>
              <w:t xml:space="preserve"> . Фруктовому, Абрикосовому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69,1</w:t>
            </w:r>
          </w:p>
        </w:tc>
      </w:tr>
      <w:tr w:rsidR="006677B2" w:rsidTr="006677B2">
        <w:trPr>
          <w:trHeight w:val="422"/>
        </w:trPr>
        <w:tc>
          <w:tcPr>
            <w:tcW w:w="6961" w:type="dxa"/>
            <w:tcBorders>
              <w:top w:val="single" w:sz="4" w:space="0" w:color="auto"/>
              <w:left w:val="single" w:sz="4"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Громадський бюджет , дитячі майданчики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330,4</w:t>
            </w:r>
          </w:p>
        </w:tc>
      </w:tr>
      <w:tr w:rsidR="006677B2" w:rsidTr="006677B2">
        <w:trPr>
          <w:trHeight w:val="413"/>
        </w:trPr>
        <w:tc>
          <w:tcPr>
            <w:tcW w:w="6961" w:type="dxa"/>
            <w:tcBorders>
              <w:top w:val="single" w:sz="4" w:space="0" w:color="auto"/>
              <w:left w:val="single" w:sz="4" w:space="0" w:color="auto"/>
              <w:bottom w:val="single" w:sz="4" w:space="0" w:color="auto"/>
              <w:right w:val="single" w:sz="4" w:space="0" w:color="auto"/>
            </w:tcBorders>
            <w:hideMark/>
          </w:tcPr>
          <w:p w:rsidR="006677B2" w:rsidRDefault="006677B2">
            <w:pPr>
              <w:jc w:val="both"/>
              <w:rPr>
                <w:sz w:val="24"/>
                <w:szCs w:val="24"/>
                <w:lang w:val="uk-UA"/>
              </w:rPr>
            </w:pPr>
            <w:r>
              <w:rPr>
                <w:sz w:val="24"/>
                <w:szCs w:val="24"/>
                <w:lang w:val="uk-UA"/>
              </w:rPr>
              <w:t>Розробка схем та проектних рішень масового застосування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2"/>
                <w:szCs w:val="22"/>
                <w:lang w:val="uk-UA"/>
              </w:rPr>
            </w:pPr>
            <w:r>
              <w:rPr>
                <w:sz w:val="22"/>
                <w:szCs w:val="22"/>
                <w:lang w:val="uk-UA"/>
              </w:rPr>
              <w:t>321,7</w:t>
            </w:r>
          </w:p>
        </w:tc>
      </w:tr>
      <w:tr w:rsidR="006677B2" w:rsidTr="006677B2">
        <w:trPr>
          <w:trHeight w:val="844"/>
        </w:trPr>
        <w:tc>
          <w:tcPr>
            <w:tcW w:w="6961" w:type="dxa"/>
            <w:tcBorders>
              <w:top w:val="single" w:sz="4" w:space="0" w:color="auto"/>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 xml:space="preserve">Реконструкція другого поверху корпусу інфекційного відділення другої міської лікарні під </w:t>
            </w:r>
            <w:proofErr w:type="spellStart"/>
            <w:r>
              <w:rPr>
                <w:sz w:val="24"/>
                <w:szCs w:val="24"/>
                <w:lang w:val="uk-UA"/>
              </w:rPr>
              <w:t>хоспіс</w:t>
            </w:r>
            <w:proofErr w:type="spellEnd"/>
            <w:r>
              <w:rPr>
                <w:sz w:val="24"/>
                <w:szCs w:val="24"/>
                <w:lang w:val="uk-UA"/>
              </w:rPr>
              <w:t xml:space="preserve"> з прибудовою ліфта по </w:t>
            </w:r>
            <w:r w:rsidR="006055BB">
              <w:rPr>
                <w:sz w:val="24"/>
                <w:szCs w:val="24"/>
                <w:lang w:val="uk-UA"/>
              </w:rPr>
              <w:t xml:space="preserve">                   </w:t>
            </w:r>
            <w:r>
              <w:rPr>
                <w:sz w:val="24"/>
                <w:szCs w:val="24"/>
                <w:lang w:val="uk-UA"/>
              </w:rPr>
              <w:t xml:space="preserve">вул.   </w:t>
            </w:r>
            <w:proofErr w:type="spellStart"/>
            <w:r>
              <w:rPr>
                <w:sz w:val="24"/>
                <w:szCs w:val="24"/>
                <w:lang w:val="uk-UA"/>
              </w:rPr>
              <w:t>Манагарова</w:t>
            </w:r>
            <w:proofErr w:type="spellEnd"/>
            <w:r>
              <w:rPr>
                <w:sz w:val="24"/>
                <w:szCs w:val="24"/>
                <w:lang w:val="uk-UA"/>
              </w:rPr>
              <w:t xml:space="preserve">, 7 в м. </w:t>
            </w:r>
            <w:proofErr w:type="spellStart"/>
            <w:r>
              <w:rPr>
                <w:sz w:val="24"/>
                <w:szCs w:val="24"/>
                <w:lang w:val="uk-UA"/>
              </w:rPr>
              <w:t>Кременчуці</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430,9</w:t>
            </w: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Реконструкція входу до будівлі поліклініки з влаштуванням пандусу та навісу по вул. Бутиріна,26</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74,5</w:t>
            </w:r>
          </w:p>
        </w:tc>
      </w:tr>
      <w:tr w:rsidR="006677B2" w:rsidTr="006677B2">
        <w:trPr>
          <w:trHeight w:val="1500"/>
        </w:trPr>
        <w:tc>
          <w:tcPr>
            <w:tcW w:w="6961" w:type="dxa"/>
            <w:tcBorders>
              <w:top w:val="nil"/>
              <w:left w:val="single" w:sz="8" w:space="0" w:color="auto"/>
              <w:bottom w:val="single" w:sz="4" w:space="0" w:color="auto"/>
              <w:right w:val="single" w:sz="4" w:space="0" w:color="auto"/>
            </w:tcBorders>
            <w:vAlign w:val="center"/>
            <w:hideMark/>
          </w:tcPr>
          <w:p w:rsidR="006677B2" w:rsidRDefault="006677B2">
            <w:pPr>
              <w:rPr>
                <w:sz w:val="24"/>
                <w:szCs w:val="24"/>
                <w:lang w:val="uk-UA"/>
              </w:rPr>
            </w:pPr>
            <w:r>
              <w:rPr>
                <w:sz w:val="24"/>
                <w:szCs w:val="24"/>
                <w:lang w:val="uk-UA"/>
              </w:rPr>
              <w:t xml:space="preserve">Реконструкція приміщення холу на першому поверсі консультативно-діагностичного центру комунального некомерційного медичного підприємства «Лікарня інтенсивного лікування «Кременчуцька» за </w:t>
            </w:r>
            <w:proofErr w:type="spellStart"/>
            <w:r>
              <w:rPr>
                <w:sz w:val="24"/>
                <w:szCs w:val="24"/>
                <w:lang w:val="uk-UA"/>
              </w:rPr>
              <w:t>адресою</w:t>
            </w:r>
            <w:proofErr w:type="spellEnd"/>
            <w:r>
              <w:rPr>
                <w:sz w:val="24"/>
                <w:szCs w:val="24"/>
                <w:lang w:val="uk-UA"/>
              </w:rPr>
              <w:t xml:space="preserve">: м. Кременчук, </w:t>
            </w:r>
            <w:r w:rsidR="006055BB">
              <w:rPr>
                <w:sz w:val="24"/>
                <w:szCs w:val="24"/>
                <w:lang w:val="uk-UA"/>
              </w:rPr>
              <w:t xml:space="preserve">               </w:t>
            </w:r>
            <w:r>
              <w:rPr>
                <w:sz w:val="24"/>
                <w:szCs w:val="24"/>
                <w:lang w:val="uk-UA"/>
              </w:rPr>
              <w:t>проспект Лесі Українки, 80</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125,0</w:t>
            </w:r>
          </w:p>
        </w:tc>
      </w:tr>
      <w:tr w:rsidR="006677B2" w:rsidTr="006677B2">
        <w:trPr>
          <w:trHeight w:val="600"/>
        </w:trPr>
        <w:tc>
          <w:tcPr>
            <w:tcW w:w="6961" w:type="dxa"/>
            <w:tcBorders>
              <w:top w:val="nil"/>
              <w:left w:val="single" w:sz="8" w:space="0" w:color="auto"/>
              <w:bottom w:val="single" w:sz="4" w:space="0" w:color="auto"/>
              <w:right w:val="single" w:sz="4" w:space="0" w:color="auto"/>
            </w:tcBorders>
            <w:hideMark/>
          </w:tcPr>
          <w:p w:rsidR="006677B2" w:rsidRDefault="006677B2">
            <w:pPr>
              <w:rPr>
                <w:sz w:val="24"/>
                <w:szCs w:val="24"/>
                <w:lang w:val="uk-UA"/>
              </w:rPr>
            </w:pPr>
            <w:r>
              <w:rPr>
                <w:sz w:val="24"/>
                <w:szCs w:val="24"/>
                <w:lang w:val="uk-UA"/>
              </w:rPr>
              <w:t>Реконструкція приймального відділення Кременчуцької міської дитячої лікарні з оснащенням медичним та іншим обладнанням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77B2" w:rsidRDefault="006677B2">
            <w:pPr>
              <w:overflowPunct w:val="0"/>
              <w:autoSpaceDE w:val="0"/>
              <w:autoSpaceDN w:val="0"/>
              <w:adjustRightInd w:val="0"/>
              <w:jc w:val="center"/>
              <w:textAlignment w:val="baseline"/>
              <w:rPr>
                <w:sz w:val="24"/>
                <w:szCs w:val="24"/>
                <w:lang w:val="uk-UA"/>
              </w:rPr>
            </w:pPr>
            <w:r>
              <w:rPr>
                <w:sz w:val="24"/>
                <w:lang w:val="uk-UA"/>
              </w:rPr>
              <w:t>579,7</w:t>
            </w:r>
          </w:p>
        </w:tc>
      </w:tr>
    </w:tbl>
    <w:p w:rsidR="006677B2" w:rsidRDefault="006677B2" w:rsidP="006677B2">
      <w:pPr>
        <w:widowControl w:val="0"/>
        <w:overflowPunct w:val="0"/>
        <w:autoSpaceDE w:val="0"/>
        <w:autoSpaceDN w:val="0"/>
        <w:adjustRightInd w:val="0"/>
        <w:ind w:firstLine="720"/>
        <w:jc w:val="both"/>
        <w:textAlignment w:val="baseline"/>
        <w:rPr>
          <w:rFonts w:ascii="Times New Roman CYR" w:hAnsi="Times New Roman CYR" w:cs="Times New Roman CYR"/>
          <w:sz w:val="28"/>
          <w:szCs w:val="28"/>
        </w:rPr>
      </w:pP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 міському бюджеті на 2017 рік передбачено надати пільгові довгострокові кредити громадянам на будівництво (реконструкцію) та придбання житла в сумі 3 073,6 тис. грн., в </w:t>
      </w:r>
      <w:proofErr w:type="spellStart"/>
      <w:r>
        <w:rPr>
          <w:sz w:val="28"/>
          <w:szCs w:val="28"/>
          <w:lang w:val="uk-UA"/>
        </w:rPr>
        <w:t>т.ч</w:t>
      </w:r>
      <w:proofErr w:type="spellEnd"/>
      <w:r>
        <w:rPr>
          <w:sz w:val="28"/>
          <w:szCs w:val="28"/>
          <w:lang w:val="uk-UA"/>
        </w:rPr>
        <w:t xml:space="preserve">.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за рахунок бюджету розвитку – 2 500,0 тис. грн.;</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 за рахунок повернення  коштів, наданих на кредитування громадянам на будівництво (реконструкцію) та придбання житла в попередні роки та відсотків за користування пільговими довгостроковими кредитами –573,6 тис. грн. </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Касові видатки в звітному періоді склали 2 771,5 тис. грн., що дорівнює 90,2% річного плану та 95,4% виконання плану за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Повернення раніше наданих кредитів та відсотків за користування ними при плані 758,0 тис. грн. в звітному періоді склало 565,0 тис. грн., що дорівнює 74,5% річного плану та 95,6% виконанню плану за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lastRenderedPageBreak/>
        <w:t>В міському бюджеті на 2017 рік за рахунок повернення раніше наданих кредитів та відсотків за користування ними передбачено витрати, пов’язані з наданням та обслуговуванням пільгових довгострокових кредитів, наданих громадянам на будівництво (реконструкцію) та придбання житла в сумі                 184,4 тис. грн. Касові видатки в звітному періоді  склали 184,4 тис. грн., що дорівнює 100% виконанню річного плану та плану за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Відповідно до статті VІ Договору про </w:t>
      </w:r>
      <w:proofErr w:type="spellStart"/>
      <w:r>
        <w:rPr>
          <w:sz w:val="28"/>
          <w:szCs w:val="28"/>
          <w:lang w:val="uk-UA"/>
        </w:rPr>
        <w:t>субкредитування</w:t>
      </w:r>
      <w:proofErr w:type="spellEnd"/>
      <w:r>
        <w:rPr>
          <w:sz w:val="28"/>
          <w:szCs w:val="28"/>
          <w:lang w:val="uk-UA"/>
        </w:rPr>
        <w:t xml:space="preserve"> №28010-02/11 від 27.01.2010 року між Міністерством фінансів України, Міністерством з питань житлово-комунального господарства України та комунальним підприємством «</w:t>
      </w:r>
      <w:proofErr w:type="spellStart"/>
      <w:r>
        <w:rPr>
          <w:sz w:val="28"/>
          <w:szCs w:val="28"/>
          <w:lang w:val="uk-UA"/>
        </w:rPr>
        <w:t>Кременчукводоканал</w:t>
      </w:r>
      <w:proofErr w:type="spellEnd"/>
      <w:r>
        <w:rPr>
          <w:sz w:val="28"/>
          <w:szCs w:val="28"/>
          <w:lang w:val="uk-UA"/>
        </w:rPr>
        <w:t xml:space="preserve">» «Про використання сум позики, що надається Україні Міжнародним банком реконструкції та розвитку» (Угода про позику «Проект розвитку міської інфраструктури» №4869-UA від 26.05.2008 року) засобом забезпечення виконання </w:t>
      </w:r>
      <w:proofErr w:type="spellStart"/>
      <w:r>
        <w:rPr>
          <w:sz w:val="28"/>
          <w:szCs w:val="28"/>
          <w:lang w:val="uk-UA"/>
        </w:rPr>
        <w:t>субпозичальником</w:t>
      </w:r>
      <w:proofErr w:type="spellEnd"/>
      <w:r>
        <w:rPr>
          <w:sz w:val="28"/>
          <w:szCs w:val="28"/>
          <w:lang w:val="uk-UA"/>
        </w:rPr>
        <w:t xml:space="preserve"> своїх зобов’язань є гарантія Кременчуцької міської ради від 21.08.2009 року №1, надана Кременчуцькою міською радою Міністерству фінансів України. </w:t>
      </w:r>
    </w:p>
    <w:p w:rsidR="005218B4" w:rsidRDefault="006677B2" w:rsidP="005218B4">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Загальна сума </w:t>
      </w:r>
      <w:proofErr w:type="spellStart"/>
      <w:r>
        <w:rPr>
          <w:sz w:val="28"/>
          <w:szCs w:val="28"/>
          <w:lang w:val="uk-UA"/>
        </w:rPr>
        <w:t>субкредиту</w:t>
      </w:r>
      <w:proofErr w:type="spellEnd"/>
      <w:r>
        <w:rPr>
          <w:sz w:val="28"/>
          <w:szCs w:val="28"/>
          <w:lang w:val="uk-UA"/>
        </w:rPr>
        <w:t xml:space="preserve"> відповідно до Додаткової Угоди  від 01 квітня 2016 року № 28010-02/11-3 до Договору про </w:t>
      </w:r>
      <w:proofErr w:type="spellStart"/>
      <w:r>
        <w:rPr>
          <w:sz w:val="28"/>
          <w:szCs w:val="28"/>
          <w:lang w:val="uk-UA"/>
        </w:rPr>
        <w:t>субкредитування</w:t>
      </w:r>
      <w:proofErr w:type="spellEnd"/>
      <w:r>
        <w:rPr>
          <w:sz w:val="28"/>
          <w:szCs w:val="28"/>
          <w:lang w:val="uk-UA"/>
        </w:rPr>
        <w:t xml:space="preserve"> №28010-02/11 від 27.01.2010 року складає 6 528 743,88 </w:t>
      </w:r>
      <w:proofErr w:type="spellStart"/>
      <w:r>
        <w:rPr>
          <w:sz w:val="28"/>
          <w:szCs w:val="28"/>
          <w:lang w:val="uk-UA"/>
        </w:rPr>
        <w:t>дол</w:t>
      </w:r>
      <w:proofErr w:type="spellEnd"/>
      <w:r>
        <w:rPr>
          <w:sz w:val="28"/>
          <w:szCs w:val="28"/>
          <w:lang w:val="uk-UA"/>
        </w:rPr>
        <w:t xml:space="preserve">. США.  У відповідності до графіку погашення  основної суми </w:t>
      </w:r>
      <w:proofErr w:type="spellStart"/>
      <w:r>
        <w:rPr>
          <w:sz w:val="28"/>
          <w:szCs w:val="28"/>
          <w:lang w:val="uk-UA"/>
        </w:rPr>
        <w:t>субкредиту</w:t>
      </w:r>
      <w:proofErr w:type="spellEnd"/>
      <w:r>
        <w:rPr>
          <w:sz w:val="28"/>
          <w:szCs w:val="28"/>
          <w:lang w:val="uk-UA"/>
        </w:rPr>
        <w:t xml:space="preserve"> останній платіж передбачається                      15 жовтня 2027 року. </w:t>
      </w:r>
    </w:p>
    <w:p w:rsidR="005218B4" w:rsidRDefault="006677B2" w:rsidP="005218B4">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 2017 році погашення основної суми </w:t>
      </w:r>
      <w:proofErr w:type="spellStart"/>
      <w:r>
        <w:rPr>
          <w:sz w:val="28"/>
          <w:szCs w:val="28"/>
          <w:lang w:val="uk-UA"/>
        </w:rPr>
        <w:t>субкредиту</w:t>
      </w:r>
      <w:proofErr w:type="spellEnd"/>
      <w:r>
        <w:rPr>
          <w:sz w:val="28"/>
          <w:szCs w:val="28"/>
          <w:lang w:val="uk-UA"/>
        </w:rPr>
        <w:t xml:space="preserve"> передбачається здійснити двома </w:t>
      </w:r>
      <w:proofErr w:type="spellStart"/>
      <w:r>
        <w:rPr>
          <w:sz w:val="28"/>
          <w:szCs w:val="28"/>
          <w:lang w:val="uk-UA"/>
        </w:rPr>
        <w:t>платежами</w:t>
      </w:r>
      <w:proofErr w:type="spellEnd"/>
      <w:r>
        <w:rPr>
          <w:sz w:val="28"/>
          <w:szCs w:val="28"/>
          <w:lang w:val="uk-UA"/>
        </w:rPr>
        <w:t xml:space="preserve"> 15 квітня 2017 року та 15 жовтня 2017 року  в загальній сумі 431 748,26 </w:t>
      </w:r>
      <w:proofErr w:type="spellStart"/>
      <w:r>
        <w:rPr>
          <w:sz w:val="28"/>
          <w:szCs w:val="28"/>
          <w:lang w:val="uk-UA"/>
        </w:rPr>
        <w:t>дол</w:t>
      </w:r>
      <w:proofErr w:type="spellEnd"/>
      <w:r>
        <w:rPr>
          <w:sz w:val="28"/>
          <w:szCs w:val="28"/>
          <w:lang w:val="uk-UA"/>
        </w:rPr>
        <w:t>. США. Сплата відсотків та маржі відповідно до договору здійсню</w:t>
      </w:r>
      <w:r w:rsidR="005218B4">
        <w:rPr>
          <w:sz w:val="28"/>
          <w:szCs w:val="28"/>
          <w:lang w:val="uk-UA"/>
        </w:rPr>
        <w:t>єть</w:t>
      </w:r>
      <w:r>
        <w:rPr>
          <w:sz w:val="28"/>
          <w:szCs w:val="28"/>
          <w:lang w:val="uk-UA"/>
        </w:rPr>
        <w:t>ся двічі на рік</w:t>
      </w:r>
      <w:r w:rsidR="005218B4">
        <w:rPr>
          <w:sz w:val="28"/>
          <w:szCs w:val="28"/>
          <w:lang w:val="uk-UA"/>
        </w:rPr>
        <w:t>:</w:t>
      </w:r>
      <w:r>
        <w:rPr>
          <w:sz w:val="28"/>
          <w:szCs w:val="28"/>
          <w:lang w:val="uk-UA"/>
        </w:rPr>
        <w:t xml:space="preserve"> 15 квітня і 15 жовтня 2017 року. </w:t>
      </w:r>
    </w:p>
    <w:p w:rsidR="005218B4"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Видатки на виконання наданих місцевих гарантій на 2017 рік</w:t>
      </w:r>
      <w:r w:rsidR="005218B4">
        <w:rPr>
          <w:sz w:val="28"/>
          <w:szCs w:val="28"/>
          <w:lang w:val="uk-UA"/>
        </w:rPr>
        <w:t xml:space="preserve"> станом на 01.10.2017</w:t>
      </w:r>
      <w:r>
        <w:rPr>
          <w:sz w:val="28"/>
          <w:szCs w:val="28"/>
          <w:lang w:val="uk-UA"/>
        </w:rPr>
        <w:t xml:space="preserve"> </w:t>
      </w:r>
      <w:r w:rsidR="005218B4">
        <w:rPr>
          <w:sz w:val="28"/>
          <w:szCs w:val="28"/>
          <w:lang w:val="uk-UA"/>
        </w:rPr>
        <w:t xml:space="preserve">склали </w:t>
      </w:r>
      <w:r>
        <w:rPr>
          <w:sz w:val="28"/>
          <w:szCs w:val="28"/>
          <w:lang w:val="uk-UA"/>
        </w:rPr>
        <w:t>7000,0 тис.</w:t>
      </w:r>
      <w:r w:rsidR="005218B4">
        <w:rPr>
          <w:sz w:val="28"/>
          <w:szCs w:val="28"/>
          <w:lang w:val="uk-UA"/>
        </w:rPr>
        <w:t xml:space="preserve"> грн., тобто 100% до планових призначень. </w:t>
      </w:r>
    </w:p>
    <w:p w:rsidR="005218B4" w:rsidRDefault="005218B4" w:rsidP="006677B2">
      <w:pPr>
        <w:suppressAutoHyphens/>
        <w:overflowPunct w:val="0"/>
        <w:autoSpaceDE w:val="0"/>
        <w:autoSpaceDN w:val="0"/>
        <w:adjustRightInd w:val="0"/>
        <w:ind w:firstLine="709"/>
        <w:jc w:val="both"/>
        <w:textAlignment w:val="baseline"/>
        <w:rPr>
          <w:sz w:val="28"/>
          <w:szCs w:val="28"/>
          <w:lang w:val="uk-UA"/>
        </w:rPr>
      </w:pP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 2017 році планується залучити кредит ЕБРР в сумі 2496,0 тис. євро  (загальна сума кредиту 8000,0 тис. євро )під місцеву гарантію. Мета кредиту – оновлення міського електротранспорту шляхом закупівлі тролейбусів для </w:t>
      </w:r>
      <w:r w:rsidR="005218B4">
        <w:rPr>
          <w:sz w:val="28"/>
          <w:szCs w:val="28"/>
          <w:lang w:val="uk-UA"/>
        </w:rPr>
        <w:t xml:space="preserve">                                </w:t>
      </w:r>
      <w:r>
        <w:rPr>
          <w:sz w:val="28"/>
          <w:szCs w:val="28"/>
          <w:lang w:val="uk-UA"/>
        </w:rPr>
        <w:t>КП «Кременчуцьке тролейбусне управління». Видатки на виконання місцевих гарантій по кредиту ЕБРР на 2017 рік визначені в сумі 9 685,8 тис. грн. Касові видатки в звітному періоді  на оплату одноразової комісії та юридичних послуг склали 4 135,5 тис. грн., що дорівнює 42,7% виконання річного плану та  плану за звітний період.</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В 2017 році на підставі рішення Кременчуцької міської ради від 31 травня 2016 року «Про залучення кредиту НЕФКО для фінансування інвестиційного проекту «</w:t>
      </w:r>
      <w:proofErr w:type="spellStart"/>
      <w:r>
        <w:rPr>
          <w:sz w:val="28"/>
          <w:szCs w:val="28"/>
          <w:lang w:val="uk-UA"/>
        </w:rPr>
        <w:t>Термомодернізація</w:t>
      </w:r>
      <w:proofErr w:type="spellEnd"/>
      <w:r>
        <w:rPr>
          <w:sz w:val="28"/>
          <w:szCs w:val="28"/>
          <w:lang w:val="uk-UA"/>
        </w:rPr>
        <w:t xml:space="preserve"> дитячого садка №32 та модернізація вуличного освітлення міста Кременчук Полтавської області» буде здійснено запозичення до міського бюджету на суму 3 927,017 тис. грн. (загальна сума кредиту 5 610,025</w:t>
      </w:r>
      <w:r w:rsidR="00A057D3">
        <w:rPr>
          <w:sz w:val="28"/>
          <w:szCs w:val="28"/>
          <w:lang w:val="uk-UA"/>
        </w:rPr>
        <w:t xml:space="preserve"> </w:t>
      </w:r>
      <w:bookmarkStart w:id="3" w:name="_GoBack"/>
      <w:bookmarkEnd w:id="3"/>
      <w:r>
        <w:rPr>
          <w:sz w:val="28"/>
          <w:szCs w:val="28"/>
          <w:lang w:val="uk-UA"/>
        </w:rPr>
        <w:t>тис. грн.)</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Запозичення до міського бюджету здійснено шляхом отримання зовнішнього кредиту по кредитному договору між «Північною екологічною фінансовою корпорацією» (НЕФКО) та Кременчуцькою міською радою.</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Відсоткова ставка за користування кредитними коштами становить 3% річних.</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lastRenderedPageBreak/>
        <w:t>Погашення кредиту та сплата відсотків по кредиту здійснюється щоквартально 15 березня, 15 червня, 15 вересня та 15 грудня, починаючи з             15 вересня 2017 року.</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Строк погашення основної суми боргу по запозиченню – 15 червня              2021 року.</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Мета запозичення – фінансування впровадження заходів проекту «</w:t>
      </w:r>
      <w:proofErr w:type="spellStart"/>
      <w:r>
        <w:rPr>
          <w:sz w:val="28"/>
          <w:szCs w:val="28"/>
          <w:lang w:val="uk-UA"/>
        </w:rPr>
        <w:t>Термомодернізація</w:t>
      </w:r>
      <w:proofErr w:type="spellEnd"/>
      <w:r>
        <w:rPr>
          <w:sz w:val="28"/>
          <w:szCs w:val="28"/>
          <w:lang w:val="uk-UA"/>
        </w:rPr>
        <w:t xml:space="preserve"> дитячого садка №32 та модернізація вуличного освітлення міста Кременчук Полтавської області».</w:t>
      </w:r>
    </w:p>
    <w:p w:rsidR="006677B2" w:rsidRDefault="006677B2" w:rsidP="006677B2">
      <w:pPr>
        <w:suppressAutoHyphens/>
        <w:overflowPunct w:val="0"/>
        <w:autoSpaceDE w:val="0"/>
        <w:autoSpaceDN w:val="0"/>
        <w:adjustRightInd w:val="0"/>
        <w:ind w:firstLine="709"/>
        <w:jc w:val="both"/>
        <w:textAlignment w:val="baseline"/>
        <w:rPr>
          <w:sz w:val="28"/>
          <w:szCs w:val="28"/>
          <w:lang w:val="uk-UA"/>
        </w:rPr>
      </w:pPr>
      <w:r>
        <w:rPr>
          <w:sz w:val="28"/>
          <w:szCs w:val="28"/>
          <w:lang w:val="uk-UA"/>
        </w:rPr>
        <w:t xml:space="preserve">В 2017 році на обслуговування кредиту (сплату відсотків) передбачені видатки в сумі 176,550 тис. грн., на погашення основної суми боргу по кредиту 701,254 тис. грн. Касові видатки в звітному періоді  на обслуговування кредиту (сплату відсотків)  склали 37,7 тис. грн, на погашення основної суми боргу по кредиту – 105,2 тис. грн. </w:t>
      </w:r>
    </w:p>
    <w:p w:rsidR="006677B2" w:rsidRDefault="006677B2" w:rsidP="006677B2">
      <w:pPr>
        <w:jc w:val="center"/>
        <w:rPr>
          <w:b/>
          <w:sz w:val="28"/>
          <w:szCs w:val="28"/>
          <w:lang w:val="uk-UA"/>
        </w:rPr>
      </w:pPr>
    </w:p>
    <w:p w:rsidR="006677B2" w:rsidRDefault="006677B2" w:rsidP="006677B2">
      <w:pPr>
        <w:rPr>
          <w:b/>
          <w:i/>
          <w:sz w:val="28"/>
          <w:szCs w:val="28"/>
          <w:lang w:val="uk-UA"/>
        </w:rPr>
      </w:pPr>
    </w:p>
    <w:p w:rsidR="006677B2" w:rsidRDefault="006677B2" w:rsidP="006677B2">
      <w:pPr>
        <w:pStyle w:val="FR1"/>
        <w:tabs>
          <w:tab w:val="left" w:pos="1440"/>
        </w:tabs>
        <w:suppressAutoHyphens/>
        <w:spacing w:line="240" w:lineRule="auto"/>
        <w:ind w:firstLine="0"/>
        <w:rPr>
          <w:b/>
          <w:szCs w:val="28"/>
        </w:rPr>
      </w:pPr>
    </w:p>
    <w:p w:rsidR="006677B2" w:rsidRDefault="006677B2" w:rsidP="006677B2">
      <w:pPr>
        <w:pStyle w:val="FR1"/>
        <w:tabs>
          <w:tab w:val="left" w:pos="1440"/>
        </w:tabs>
        <w:suppressAutoHyphens/>
        <w:spacing w:line="240" w:lineRule="auto"/>
        <w:ind w:firstLine="0"/>
        <w:rPr>
          <w:b/>
          <w:szCs w:val="28"/>
        </w:rPr>
      </w:pPr>
      <w:r>
        <w:rPr>
          <w:b/>
          <w:szCs w:val="28"/>
        </w:rPr>
        <w:t xml:space="preserve">Заступник міського голови – </w:t>
      </w:r>
    </w:p>
    <w:p w:rsidR="006677B2" w:rsidRDefault="006677B2" w:rsidP="006677B2">
      <w:pPr>
        <w:pStyle w:val="FR1"/>
        <w:tabs>
          <w:tab w:val="left" w:pos="1440"/>
        </w:tabs>
        <w:suppressAutoHyphens/>
        <w:spacing w:line="240" w:lineRule="auto"/>
        <w:ind w:firstLine="0"/>
        <w:rPr>
          <w:b/>
          <w:szCs w:val="28"/>
        </w:rPr>
      </w:pPr>
      <w:r>
        <w:rPr>
          <w:b/>
          <w:szCs w:val="28"/>
        </w:rPr>
        <w:t xml:space="preserve">начальника фінансового управління </w:t>
      </w:r>
    </w:p>
    <w:p w:rsidR="006677B2" w:rsidRDefault="006677B2" w:rsidP="006677B2">
      <w:pPr>
        <w:tabs>
          <w:tab w:val="left" w:pos="7088"/>
        </w:tabs>
        <w:rPr>
          <w:b/>
          <w:sz w:val="28"/>
          <w:szCs w:val="28"/>
          <w:lang w:val="uk-UA"/>
        </w:rPr>
      </w:pPr>
      <w:r>
        <w:rPr>
          <w:b/>
          <w:sz w:val="28"/>
          <w:szCs w:val="28"/>
          <w:lang w:val="uk-UA"/>
        </w:rPr>
        <w:t xml:space="preserve">виконавчого комітету </w:t>
      </w:r>
    </w:p>
    <w:p w:rsidR="006677B2" w:rsidRDefault="006677B2" w:rsidP="006677B2">
      <w:pPr>
        <w:tabs>
          <w:tab w:val="left" w:pos="7088"/>
        </w:tabs>
        <w:rPr>
          <w:b/>
          <w:sz w:val="28"/>
          <w:szCs w:val="28"/>
          <w:lang w:val="uk-UA"/>
        </w:rPr>
      </w:pPr>
      <w:r>
        <w:rPr>
          <w:b/>
          <w:sz w:val="28"/>
          <w:szCs w:val="28"/>
          <w:lang w:val="uk-UA"/>
        </w:rPr>
        <w:t>Кременчуцької міської ради                                                     Т.Г.НЕІЛЕНКО</w:t>
      </w:r>
    </w:p>
    <w:p w:rsidR="006677B2" w:rsidRDefault="006677B2" w:rsidP="006677B2">
      <w:pPr>
        <w:ind w:firstLine="709"/>
        <w:rPr>
          <w:b/>
          <w:sz w:val="28"/>
          <w:lang w:val="uk-UA"/>
        </w:rPr>
      </w:pPr>
    </w:p>
    <w:p w:rsidR="006677B2" w:rsidRDefault="006677B2" w:rsidP="006677B2">
      <w:pPr>
        <w:ind w:firstLine="709"/>
        <w:rPr>
          <w:b/>
          <w:sz w:val="28"/>
          <w:lang w:val="uk-UA"/>
        </w:rPr>
      </w:pPr>
    </w:p>
    <w:p w:rsidR="006677B2" w:rsidRDefault="006677B2" w:rsidP="006677B2">
      <w:pPr>
        <w:ind w:firstLine="709"/>
        <w:rPr>
          <w:b/>
          <w:sz w:val="28"/>
          <w:lang w:val="uk-UA"/>
        </w:rPr>
      </w:pPr>
    </w:p>
    <w:p w:rsidR="006677B2" w:rsidRDefault="006677B2" w:rsidP="006677B2">
      <w:pPr>
        <w:ind w:firstLine="709"/>
        <w:rPr>
          <w:b/>
          <w:sz w:val="28"/>
          <w:lang w:val="uk-UA"/>
        </w:rPr>
      </w:pPr>
    </w:p>
    <w:p w:rsidR="00CD7118" w:rsidRPr="006677B2" w:rsidRDefault="00CD7118">
      <w:pPr>
        <w:rPr>
          <w:lang w:val="uk-UA"/>
        </w:rPr>
      </w:pPr>
    </w:p>
    <w:sectPr w:rsidR="00CD7118" w:rsidRPr="006677B2" w:rsidSect="004C034C">
      <w:footerReference w:type="default" r:id="rId12"/>
      <w:pgSz w:w="11906" w:h="16838"/>
      <w:pgMar w:top="567" w:right="566" w:bottom="568" w:left="1701"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6" w:rsidRDefault="00D76ED6" w:rsidP="004C034C">
      <w:r>
        <w:separator/>
      </w:r>
    </w:p>
  </w:endnote>
  <w:endnote w:type="continuationSeparator" w:id="0">
    <w:p w:rsidR="00D76ED6" w:rsidRDefault="00D76ED6" w:rsidP="004C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658413"/>
      <w:docPartObj>
        <w:docPartGallery w:val="Page Numbers (Bottom of Page)"/>
        <w:docPartUnique/>
      </w:docPartObj>
    </w:sdtPr>
    <w:sdtEndPr>
      <w:rPr>
        <w:sz w:val="24"/>
        <w:szCs w:val="24"/>
      </w:rPr>
    </w:sdtEndPr>
    <w:sdtContent>
      <w:p w:rsidR="004C034C" w:rsidRPr="004C034C" w:rsidRDefault="004C034C">
        <w:pPr>
          <w:pStyle w:val="a7"/>
          <w:jc w:val="right"/>
          <w:rPr>
            <w:sz w:val="24"/>
            <w:szCs w:val="24"/>
          </w:rPr>
        </w:pPr>
        <w:r w:rsidRPr="004C034C">
          <w:rPr>
            <w:sz w:val="24"/>
            <w:szCs w:val="24"/>
          </w:rPr>
          <w:fldChar w:fldCharType="begin"/>
        </w:r>
        <w:r w:rsidRPr="004C034C">
          <w:rPr>
            <w:sz w:val="24"/>
            <w:szCs w:val="24"/>
          </w:rPr>
          <w:instrText>PAGE   \* MERGEFORMAT</w:instrText>
        </w:r>
        <w:r w:rsidRPr="004C034C">
          <w:rPr>
            <w:sz w:val="24"/>
            <w:szCs w:val="24"/>
          </w:rPr>
          <w:fldChar w:fldCharType="separate"/>
        </w:r>
        <w:r w:rsidR="00A057D3">
          <w:rPr>
            <w:noProof/>
            <w:sz w:val="24"/>
            <w:szCs w:val="24"/>
          </w:rPr>
          <w:t>16</w:t>
        </w:r>
        <w:r w:rsidRPr="004C034C">
          <w:rPr>
            <w:sz w:val="24"/>
            <w:szCs w:val="24"/>
          </w:rPr>
          <w:fldChar w:fldCharType="end"/>
        </w:r>
      </w:p>
    </w:sdtContent>
  </w:sdt>
  <w:p w:rsidR="004C034C" w:rsidRDefault="004C03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6" w:rsidRDefault="00D76ED6" w:rsidP="004C034C">
      <w:r>
        <w:separator/>
      </w:r>
    </w:p>
  </w:footnote>
  <w:footnote w:type="continuationSeparator" w:id="0">
    <w:p w:rsidR="00D76ED6" w:rsidRDefault="00D76ED6" w:rsidP="004C0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D81"/>
    <w:multiLevelType w:val="hybridMultilevel"/>
    <w:tmpl w:val="0A20E498"/>
    <w:lvl w:ilvl="0" w:tplc="8C54E31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9F"/>
    <w:rsid w:val="0014224E"/>
    <w:rsid w:val="00435B73"/>
    <w:rsid w:val="004C034C"/>
    <w:rsid w:val="005218B4"/>
    <w:rsid w:val="006055BB"/>
    <w:rsid w:val="006677B2"/>
    <w:rsid w:val="00700E73"/>
    <w:rsid w:val="007D3244"/>
    <w:rsid w:val="007E70AF"/>
    <w:rsid w:val="00820F06"/>
    <w:rsid w:val="009C0F80"/>
    <w:rsid w:val="00A057D3"/>
    <w:rsid w:val="00B13CE9"/>
    <w:rsid w:val="00B5619F"/>
    <w:rsid w:val="00C93936"/>
    <w:rsid w:val="00CA0C11"/>
    <w:rsid w:val="00CC5D8D"/>
    <w:rsid w:val="00CD7118"/>
    <w:rsid w:val="00D53385"/>
    <w:rsid w:val="00D76ED6"/>
    <w:rsid w:val="00DF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677B2"/>
    <w:pPr>
      <w:widowControl w:val="0"/>
      <w:spacing w:after="0" w:line="259" w:lineRule="auto"/>
      <w:ind w:firstLine="680"/>
    </w:pPr>
    <w:rPr>
      <w:rFonts w:ascii="Times New Roman" w:eastAsia="Times New Roman" w:hAnsi="Times New Roman" w:cs="Times New Roman"/>
      <w:sz w:val="28"/>
      <w:szCs w:val="20"/>
      <w:lang w:val="uk-UA" w:eastAsia="ru-RU"/>
    </w:rPr>
  </w:style>
  <w:style w:type="paragraph" w:styleId="a3">
    <w:name w:val="Balloon Text"/>
    <w:basedOn w:val="a"/>
    <w:link w:val="a4"/>
    <w:uiPriority w:val="99"/>
    <w:semiHidden/>
    <w:unhideWhenUsed/>
    <w:rsid w:val="006677B2"/>
    <w:rPr>
      <w:rFonts w:ascii="Tahoma" w:hAnsi="Tahoma" w:cs="Tahoma"/>
      <w:sz w:val="16"/>
      <w:szCs w:val="16"/>
    </w:rPr>
  </w:style>
  <w:style w:type="character" w:customStyle="1" w:styleId="a4">
    <w:name w:val="Текст выноски Знак"/>
    <w:basedOn w:val="a0"/>
    <w:link w:val="a3"/>
    <w:uiPriority w:val="99"/>
    <w:semiHidden/>
    <w:rsid w:val="006677B2"/>
    <w:rPr>
      <w:rFonts w:ascii="Tahoma" w:eastAsia="Times New Roman" w:hAnsi="Tahoma" w:cs="Tahoma"/>
      <w:sz w:val="16"/>
      <w:szCs w:val="16"/>
      <w:lang w:eastAsia="ru-RU"/>
    </w:rPr>
  </w:style>
  <w:style w:type="paragraph" w:styleId="a5">
    <w:name w:val="header"/>
    <w:basedOn w:val="a"/>
    <w:link w:val="a6"/>
    <w:uiPriority w:val="99"/>
    <w:unhideWhenUsed/>
    <w:rsid w:val="004C034C"/>
    <w:pPr>
      <w:tabs>
        <w:tab w:val="center" w:pos="4677"/>
        <w:tab w:val="right" w:pos="9355"/>
      </w:tabs>
    </w:pPr>
  </w:style>
  <w:style w:type="character" w:customStyle="1" w:styleId="a6">
    <w:name w:val="Верхний колонтитул Знак"/>
    <w:basedOn w:val="a0"/>
    <w:link w:val="a5"/>
    <w:uiPriority w:val="99"/>
    <w:rsid w:val="004C034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C034C"/>
    <w:pPr>
      <w:tabs>
        <w:tab w:val="center" w:pos="4677"/>
        <w:tab w:val="right" w:pos="9355"/>
      </w:tabs>
    </w:pPr>
  </w:style>
  <w:style w:type="character" w:customStyle="1" w:styleId="a8">
    <w:name w:val="Нижний колонтитул Знак"/>
    <w:basedOn w:val="a0"/>
    <w:link w:val="a7"/>
    <w:uiPriority w:val="99"/>
    <w:rsid w:val="004C034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7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677B2"/>
    <w:pPr>
      <w:widowControl w:val="0"/>
      <w:spacing w:after="0" w:line="259" w:lineRule="auto"/>
      <w:ind w:firstLine="680"/>
    </w:pPr>
    <w:rPr>
      <w:rFonts w:ascii="Times New Roman" w:eastAsia="Times New Roman" w:hAnsi="Times New Roman" w:cs="Times New Roman"/>
      <w:sz w:val="28"/>
      <w:szCs w:val="20"/>
      <w:lang w:val="uk-UA" w:eastAsia="ru-RU"/>
    </w:rPr>
  </w:style>
  <w:style w:type="paragraph" w:styleId="a3">
    <w:name w:val="Balloon Text"/>
    <w:basedOn w:val="a"/>
    <w:link w:val="a4"/>
    <w:uiPriority w:val="99"/>
    <w:semiHidden/>
    <w:unhideWhenUsed/>
    <w:rsid w:val="006677B2"/>
    <w:rPr>
      <w:rFonts w:ascii="Tahoma" w:hAnsi="Tahoma" w:cs="Tahoma"/>
      <w:sz w:val="16"/>
      <w:szCs w:val="16"/>
    </w:rPr>
  </w:style>
  <w:style w:type="character" w:customStyle="1" w:styleId="a4">
    <w:name w:val="Текст выноски Знак"/>
    <w:basedOn w:val="a0"/>
    <w:link w:val="a3"/>
    <w:uiPriority w:val="99"/>
    <w:semiHidden/>
    <w:rsid w:val="006677B2"/>
    <w:rPr>
      <w:rFonts w:ascii="Tahoma" w:eastAsia="Times New Roman" w:hAnsi="Tahoma" w:cs="Tahoma"/>
      <w:sz w:val="16"/>
      <w:szCs w:val="16"/>
      <w:lang w:eastAsia="ru-RU"/>
    </w:rPr>
  </w:style>
  <w:style w:type="paragraph" w:styleId="a5">
    <w:name w:val="header"/>
    <w:basedOn w:val="a"/>
    <w:link w:val="a6"/>
    <w:uiPriority w:val="99"/>
    <w:unhideWhenUsed/>
    <w:rsid w:val="004C034C"/>
    <w:pPr>
      <w:tabs>
        <w:tab w:val="center" w:pos="4677"/>
        <w:tab w:val="right" w:pos="9355"/>
      </w:tabs>
    </w:pPr>
  </w:style>
  <w:style w:type="character" w:customStyle="1" w:styleId="a6">
    <w:name w:val="Верхний колонтитул Знак"/>
    <w:basedOn w:val="a0"/>
    <w:link w:val="a5"/>
    <w:uiPriority w:val="99"/>
    <w:rsid w:val="004C034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C034C"/>
    <w:pPr>
      <w:tabs>
        <w:tab w:val="center" w:pos="4677"/>
        <w:tab w:val="right" w:pos="9355"/>
      </w:tabs>
    </w:pPr>
  </w:style>
  <w:style w:type="character" w:customStyle="1" w:styleId="a8">
    <w:name w:val="Нижний колонтитул Знак"/>
    <w:basedOn w:val="a0"/>
    <w:link w:val="a7"/>
    <w:uiPriority w:val="99"/>
    <w:rsid w:val="004C034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9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22" b="1" i="0" u="none" strike="noStrike" baseline="0">
                <a:solidFill>
                  <a:srgbClr val="000000"/>
                </a:solidFill>
                <a:latin typeface="Times New Roman"/>
                <a:ea typeface="Times New Roman"/>
                <a:cs typeface="Times New Roman"/>
              </a:defRPr>
            </a:pPr>
            <a:r>
              <a:rPr lang="ru-RU"/>
              <a:t>Фактичні надходження до спеціального фонду  
міського бюджету  за 9 місяців  2017 року
та в.п.м.р.  (без трансфертів)</a:t>
            </a:r>
          </a:p>
        </c:rich>
      </c:tx>
      <c:layout>
        <c:manualLayout>
          <c:xMode val="edge"/>
          <c:yMode val="edge"/>
          <c:x val="0.23604465709728867"/>
          <c:y val="1.9704433497536946E-2"/>
        </c:manualLayout>
      </c:layout>
      <c:overlay val="0"/>
      <c:spPr>
        <a:noFill/>
        <a:ln w="26981">
          <a:noFill/>
        </a:ln>
      </c:spPr>
    </c:title>
    <c:autoTitleDeleted val="0"/>
    <c:view3D>
      <c:rotX val="22"/>
      <c:hPercent val="48"/>
      <c:rotY val="25"/>
      <c:depthPercent val="100"/>
      <c:rAngAx val="1"/>
    </c:view3D>
    <c:floor>
      <c:thickness val="0"/>
      <c:spPr>
        <a:noFill/>
        <a:ln w="9525">
          <a:noFill/>
        </a:ln>
      </c:spPr>
    </c:floor>
    <c:sideWall>
      <c:thickness val="0"/>
      <c:spPr>
        <a:noFill/>
        <a:ln w="12700">
          <a:solidFill>
            <a:srgbClr val="FFFFFF"/>
          </a:solidFill>
          <a:prstDash val="solid"/>
        </a:ln>
      </c:spPr>
    </c:sideWall>
    <c:backWall>
      <c:thickness val="0"/>
      <c:spPr>
        <a:noFill/>
        <a:ln w="12700">
          <a:solidFill>
            <a:srgbClr val="FFFFFF"/>
          </a:solidFill>
          <a:prstDash val="solid"/>
        </a:ln>
      </c:spPr>
    </c:backWall>
    <c:plotArea>
      <c:layout>
        <c:manualLayout>
          <c:layoutTarget val="inner"/>
          <c:xMode val="edge"/>
          <c:yMode val="edge"/>
          <c:x val="6.8580542264752797E-2"/>
          <c:y val="0.22660098522167488"/>
          <c:w val="0.8771929824561403"/>
          <c:h val="0.61083743842364535"/>
        </c:manualLayout>
      </c:layout>
      <c:bar3DChart>
        <c:barDir val="col"/>
        <c:grouping val="clustered"/>
        <c:varyColors val="0"/>
        <c:ser>
          <c:idx val="0"/>
          <c:order val="0"/>
          <c:tx>
            <c:strRef>
              <c:f>Sheet1!$A$2</c:f>
              <c:strCache>
                <c:ptCount val="1"/>
                <c:pt idx="0">
                  <c:v>9 місяців 2016 року</c:v>
                </c:pt>
              </c:strCache>
            </c:strRef>
          </c:tx>
          <c:spPr>
            <a:solidFill>
              <a:srgbClr val="9999FF"/>
            </a:solidFill>
            <a:ln w="13490">
              <a:solidFill>
                <a:srgbClr val="000000"/>
              </a:solidFill>
              <a:prstDash val="solid"/>
            </a:ln>
          </c:spPr>
          <c:invertIfNegative val="0"/>
          <c:dLbls>
            <c:dLbl>
              <c:idx val="0"/>
              <c:layout>
                <c:manualLayout>
                  <c:x val="1.044919119503312E-2"/>
                  <c:y val="-0.17745710043870511"/>
                </c:manualLayout>
              </c:layout>
              <c:showLegendKey val="0"/>
              <c:showVal val="1"/>
              <c:showCatName val="0"/>
              <c:showSerName val="0"/>
              <c:showPercent val="0"/>
              <c:showBubbleSize val="0"/>
            </c:dLbl>
            <c:numFmt formatCode="#,##0.000" sourceLinked="0"/>
            <c:spPr>
              <a:noFill/>
              <a:ln w="26981">
                <a:noFill/>
              </a:ln>
            </c:spPr>
            <c:txPr>
              <a:bodyPr/>
              <a:lstStyle/>
              <a:p>
                <a:pPr>
                  <a:defRPr sz="127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55429.345000000001</c:v>
                </c:pt>
              </c:numCache>
            </c:numRef>
          </c:val>
        </c:ser>
        <c:ser>
          <c:idx val="1"/>
          <c:order val="1"/>
          <c:tx>
            <c:strRef>
              <c:f>Sheet1!$A$3</c:f>
              <c:strCache>
                <c:ptCount val="1"/>
                <c:pt idx="0">
                  <c:v>9 місяців  2017 року</c:v>
                </c:pt>
              </c:strCache>
            </c:strRef>
          </c:tx>
          <c:spPr>
            <a:pattFill prst="wdUpDiag">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FFFFFF" mc:Ignorable="a14" a14:legacySpreadsheetColorIndex="9"/>
              </a:bgClr>
            </a:pattFill>
            <a:ln w="13490">
              <a:solidFill>
                <a:srgbClr val="000000"/>
              </a:solidFill>
              <a:prstDash val="solid"/>
            </a:ln>
          </c:spPr>
          <c:invertIfNegative val="0"/>
          <c:dLbls>
            <c:dLbl>
              <c:idx val="0"/>
              <c:layout>
                <c:manualLayout>
                  <c:x val="0.10573760618015644"/>
                  <c:y val="-0.18914827829876701"/>
                </c:manualLayout>
              </c:layout>
              <c:showLegendKey val="0"/>
              <c:showVal val="1"/>
              <c:showCatName val="0"/>
              <c:showSerName val="0"/>
              <c:showPercent val="0"/>
              <c:showBubbleSize val="0"/>
            </c:dLbl>
            <c:numFmt formatCode="#,##0.000" sourceLinked="0"/>
            <c:spPr>
              <a:noFill/>
              <a:ln w="26981">
                <a:noFill/>
              </a:ln>
            </c:spPr>
            <c:txPr>
              <a:bodyPr/>
              <a:lstStyle/>
              <a:p>
                <a:pPr>
                  <a:defRPr sz="127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50052.29</c:v>
                </c:pt>
              </c:numCache>
            </c:numRef>
          </c:val>
        </c:ser>
        <c:dLbls>
          <c:showLegendKey val="0"/>
          <c:showVal val="0"/>
          <c:showCatName val="0"/>
          <c:showSerName val="0"/>
          <c:showPercent val="0"/>
          <c:showBubbleSize val="0"/>
        </c:dLbls>
        <c:gapWidth val="150"/>
        <c:gapDepth val="0"/>
        <c:shape val="cylinder"/>
        <c:axId val="73167232"/>
        <c:axId val="73171712"/>
        <c:axId val="0"/>
      </c:bar3DChart>
      <c:catAx>
        <c:axId val="73167232"/>
        <c:scaling>
          <c:orientation val="minMax"/>
        </c:scaling>
        <c:delete val="0"/>
        <c:axPos val="b"/>
        <c:numFmt formatCode="General" sourceLinked="1"/>
        <c:majorTickMark val="out"/>
        <c:minorTickMark val="none"/>
        <c:tickLblPos val="low"/>
        <c:spPr>
          <a:ln w="13490">
            <a:solidFill>
              <a:srgbClr val="FFFFFF"/>
            </a:solidFill>
            <a:prstDash val="solid"/>
          </a:ln>
        </c:spPr>
        <c:txPr>
          <a:bodyPr rot="0" vert="horz"/>
          <a:lstStyle/>
          <a:p>
            <a:pPr>
              <a:defRPr sz="1832" b="1" i="0" u="none" strike="noStrike" baseline="0">
                <a:solidFill>
                  <a:srgbClr val="000000"/>
                </a:solidFill>
                <a:latin typeface="Calibri"/>
                <a:ea typeface="Calibri"/>
                <a:cs typeface="Calibri"/>
              </a:defRPr>
            </a:pPr>
            <a:endParaRPr lang="ru-RU"/>
          </a:p>
        </c:txPr>
        <c:crossAx val="73171712"/>
        <c:crosses val="autoZero"/>
        <c:auto val="1"/>
        <c:lblAlgn val="ctr"/>
        <c:lblOffset val="100"/>
        <c:tickLblSkip val="1"/>
        <c:tickMarkSkip val="1"/>
        <c:noMultiLvlLbl val="0"/>
      </c:catAx>
      <c:valAx>
        <c:axId val="73171712"/>
        <c:scaling>
          <c:orientation val="minMax"/>
          <c:min val="13000"/>
        </c:scaling>
        <c:delete val="1"/>
        <c:axPos val="l"/>
        <c:numFmt formatCode="General" sourceLinked="1"/>
        <c:majorTickMark val="out"/>
        <c:minorTickMark val="none"/>
        <c:tickLblPos val="nextTo"/>
        <c:crossAx val="73167232"/>
        <c:crosses val="autoZero"/>
        <c:crossBetween val="between"/>
      </c:valAx>
      <c:spPr>
        <a:noFill/>
        <a:ln w="26981">
          <a:noFill/>
        </a:ln>
      </c:spPr>
    </c:plotArea>
    <c:legend>
      <c:legendPos val="r"/>
      <c:layout>
        <c:manualLayout>
          <c:xMode val="edge"/>
          <c:yMode val="edge"/>
          <c:x val="0.22647527910685805"/>
          <c:y val="0.8645320197044335"/>
          <c:w val="0.5534290271132376"/>
          <c:h val="8.8669950738916259E-2"/>
        </c:manualLayout>
      </c:layout>
      <c:overlay val="0"/>
      <c:spPr>
        <a:noFill/>
        <a:ln w="3373">
          <a:solidFill>
            <a:srgbClr val="000000"/>
          </a:solidFill>
          <a:prstDash val="solid"/>
        </a:ln>
      </c:spPr>
      <c:txPr>
        <a:bodyPr/>
        <a:lstStyle/>
        <a:p>
          <a:pPr>
            <a:defRPr sz="1073"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188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6186</Words>
  <Characters>35265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14</cp:revision>
  <cp:lastPrinted>2017-11-17T08:13:00Z</cp:lastPrinted>
  <dcterms:created xsi:type="dcterms:W3CDTF">2017-11-16T11:39:00Z</dcterms:created>
  <dcterms:modified xsi:type="dcterms:W3CDTF">2017-11-17T08:13:00Z</dcterms:modified>
</cp:coreProperties>
</file>