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p w:rsidR="00115128" w:rsidRPr="00EA63EC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C47C2F" w:rsidRPr="009464D4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CC0061" w:rsidRPr="009464D4" w:rsidTr="00E42C89">
        <w:trPr>
          <w:trHeight w:val="9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37F90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402 843,0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061" w:rsidRPr="009709E9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152 917,3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30 83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9464D4" w:rsidRPr="009464D4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CC0061" w:rsidRPr="009464D4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303F90" w:rsidP="0014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14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129 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14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432 630,3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CC0061" w:rsidRPr="009464D4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402 843,0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152 917,3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21E67" w:rsidRPr="009464D4" w:rsidTr="00837F3D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EE5F9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E5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EE5F94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E5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EE5F9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E5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837F3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837F3D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837F3D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21E67" w:rsidRPr="00F21E6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842C3D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</w:t>
            </w:r>
            <w:r w:rsidR="009464D4"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="009464D4"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A63EC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</w:t>
            </w:r>
            <w:r w:rsidR="009464D4"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902B6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</w:t>
            </w:r>
            <w:r w:rsidR="008A7923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265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 w:rsidR="00B60CCE"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 w:rsidR="00B60CCE"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CCE" w:rsidRPr="00F21E6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21E67" w:rsidRPr="00F21E67" w:rsidTr="009709E9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9709E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837F3D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837F3D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4,4866 га по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вул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Лікаря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Парнети,16 в м.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Кременчук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Полтавської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902B6F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послуг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з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проведення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обмірів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та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виготовлення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технічного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837F3D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3E4E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21E67">
              <w:rPr>
                <w:i/>
                <w:sz w:val="18"/>
                <w:szCs w:val="18"/>
                <w:lang w:val="uk-UA"/>
              </w:rPr>
              <w:t xml:space="preserve">Оплата послуг поточного ремонту із </w:t>
            </w:r>
            <w:r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за </w:t>
            </w:r>
            <w:proofErr w:type="spellStart"/>
            <w:r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адресою</w:t>
            </w:r>
            <w:proofErr w:type="spellEnd"/>
            <w:r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: вул. Л</w:t>
            </w:r>
            <w:r w:rsidR="003E4E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ікаря Парнети,16, м. Кременчук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837F3D" w:rsidRPr="00F21E6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F3D" w:rsidRPr="00411F12" w:rsidRDefault="009D66F7" w:rsidP="003E4E7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</w:t>
            </w:r>
            <w:r w:rsidRPr="009D66F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D66F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робіт</w:t>
            </w:r>
            <w:proofErr w:type="spellEnd"/>
            <w:r w:rsidRPr="009D66F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 </w:t>
            </w:r>
            <w:r w:rsidR="00411F1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9D66F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1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F21E6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F21E6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F21E6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11F12" w:rsidRPr="00411F12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F12" w:rsidRPr="00411F12" w:rsidRDefault="00411F12" w:rsidP="003E4E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Оплата послуг </w:t>
            </w:r>
            <w:r w:rsidR="003E4E7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прочищення зливної каналізації педіатричного центру – «Дитяча лікарня» </w:t>
            </w:r>
            <w:r w:rsidR="003E4E7A"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 </w:t>
            </w:r>
            <w:proofErr w:type="spellStart"/>
            <w:r w:rsidR="003E4E7A"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адресою</w:t>
            </w:r>
            <w:proofErr w:type="spellEnd"/>
            <w:r w:rsidR="003E4E7A"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: вул. Л</w:t>
            </w:r>
            <w:r w:rsidR="003E4E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ікаря Парнети,16, м. Кременчук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Pr="00BA73F4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 w:eastAsia="ru-RU"/>
              </w:rPr>
            </w:pPr>
            <w:r w:rsidRPr="001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21E67" w:rsidRPr="00F21E6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1 578,5</w:t>
            </w:r>
          </w:p>
        </w:tc>
      </w:tr>
      <w:tr w:rsidR="00F21E67" w:rsidRPr="00F21E6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67 718,6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42C3D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24 630,1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139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212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165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629,8</w:t>
            </w:r>
          </w:p>
        </w:tc>
      </w:tr>
      <w:tr w:rsidR="00F21E67" w:rsidRPr="00F21E6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549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750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</w:tr>
      <w:tr w:rsidR="00F21E67" w:rsidRPr="00F21E67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888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388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916,8</w:t>
            </w:r>
          </w:p>
        </w:tc>
      </w:tr>
      <w:tr w:rsidR="00F21E67" w:rsidRPr="00F21E67" w:rsidTr="00E42C89">
        <w:trPr>
          <w:cantSplit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880 042,0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335 517,8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F21E67" w:rsidRPr="00F21E6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157 960,6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57 004,8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F21E67" w:rsidRPr="00F21E67" w:rsidTr="009A3AAE">
        <w:trPr>
          <w:trHeight w:val="42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2B6F" w:rsidRPr="00F21E67" w:rsidRDefault="00902B6F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F21E67" w:rsidRPr="00F21E67" w:rsidTr="006D741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34 490</w:t>
            </w:r>
            <w:r w:rsidR="007F6CD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</w:t>
            </w:r>
            <w:r w:rsidR="007F6CD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  <w:tr w:rsidR="00F21E67" w:rsidRPr="00F21E67" w:rsidTr="00620F6C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620F6C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Впровадження новітніх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методик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F21E67" w:rsidRPr="00F21E67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F21E67" w:rsidRPr="00F21E67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320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м.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Полт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кошторисної документації по об’єкту «Ре</w:t>
            </w:r>
            <w:r w:rsidR="007F6CD7"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конструкці</w:t>
            </w: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="007F6CD7"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приміщення для створення кардіохірургічної служби за </w:t>
            </w:r>
            <w:proofErr w:type="spellStart"/>
            <w:r w:rsidR="007F6CD7"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="007F6CD7" w:rsidRPr="00F21E67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7F6CD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з оснащенням гнійно-септичного хір</w:t>
            </w:r>
            <w:r w:rsidR="00E42C89"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ургічного відділення площа 1000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F21E67" w:rsidRPr="00F21E6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адресою проспект Лесі Українки, 80, 500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F21E67" w:rsidRPr="00F21E67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паркувального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будівлі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</w:tr>
      <w:tr w:rsidR="00F21E67" w:rsidRPr="00F21E67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  <w:r w:rsidR="00A16D14"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6D1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-2024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6D1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-2024р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16D14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A16D14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вул.Квітки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Монтаж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киснепостачання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обладнання і предметів довгострокового використання для паліативного</w:t>
            </w:r>
            <w:r w:rsidR="00965EF1" w:rsidRPr="00F21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086FE9">
        <w:trPr>
          <w:trHeight w:val="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086F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620F6C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(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6DA8" w:rsidRPr="00F21E6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A8" w:rsidRPr="00F21E6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F21E6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дороговартісних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F21E6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F21E6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F21E6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F21E6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F21E6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F21E6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F21E6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F21E6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F21E67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F21E67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F21E67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F21E67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F21E67">
              <w:rPr>
                <w:rFonts w:ascii="Times New Roman" w:hAnsi="Times New Roman" w:cs="Times New Roman"/>
                <w:lang w:val="uk-UA"/>
              </w:rPr>
              <w:t>»</w:t>
            </w:r>
            <w:r w:rsidRPr="00F21E67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F8E" w:rsidRPr="00F21E6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E" w:rsidRPr="00F21E6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F21E67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 w:rsidRPr="00F21E67">
              <w:rPr>
                <w:rFonts w:ascii="Times New Roman" w:hAnsi="Times New Roman" w:cs="Times New Roman"/>
                <w:lang w:val="uk-UA"/>
              </w:rPr>
              <w:t xml:space="preserve"> розміщення адміністрації КНМП 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Лікаря Парнети,16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 w:rsidRPr="00F21E67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9661D" w:rsidRPr="00F21E67">
              <w:rPr>
                <w:rFonts w:ascii="Times New Roman" w:hAnsi="Times New Roman" w:cs="Times New Roman"/>
                <w:lang w:val="uk-UA"/>
              </w:rPr>
              <w:t>, 1А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953E0" w:rsidRPr="00F21E6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0" w:rsidRPr="00F21E6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Pr="00F21E67" w:rsidRDefault="00526DE0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Оплата</w:t>
            </w:r>
            <w:r w:rsidR="006953E0" w:rsidRPr="00F21E67">
              <w:rPr>
                <w:rFonts w:ascii="Times New Roman" w:hAnsi="Times New Roman" w:cs="Times New Roman"/>
                <w:lang w:val="uk-UA"/>
              </w:rPr>
              <w:t xml:space="preserve">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«Кремен-</w:t>
            </w:r>
            <w:proofErr w:type="spellStart"/>
            <w:r w:rsidR="006953E0" w:rsidRPr="00F21E67">
              <w:rPr>
                <w:rFonts w:ascii="Times New Roman" w:hAnsi="Times New Roman" w:cs="Times New Roman"/>
                <w:lang w:val="uk-UA"/>
              </w:rPr>
              <w:t>чуцька</w:t>
            </w:r>
            <w:proofErr w:type="spellEnd"/>
            <w:r w:rsidR="006953E0" w:rsidRPr="00F21E67">
              <w:rPr>
                <w:rFonts w:ascii="Times New Roman" w:hAnsi="Times New Roman" w:cs="Times New Roman"/>
                <w:lang w:val="uk-UA"/>
              </w:rPr>
              <w:t xml:space="preserve">» з встановлення дахової СЕС для власних потреб за адресою вул. Лікаря </w:t>
            </w:r>
            <w:proofErr w:type="spellStart"/>
            <w:r w:rsidR="006953E0" w:rsidRPr="00F21E67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="006953E0" w:rsidRPr="00F21E67"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="00F5187C" w:rsidRPr="00F21E67">
              <w:rPr>
                <w:rFonts w:ascii="Times New Roman" w:hAnsi="Times New Roman" w:cs="Times New Roman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="00F5187C"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5187C" w:rsidRPr="00F21E67">
              <w:rPr>
                <w:rFonts w:ascii="Times New Roman" w:hAnsi="Times New Roman" w:cs="Times New Roman"/>
                <w:lang w:val="uk-UA"/>
              </w:rPr>
              <w:t xml:space="preserve"> б. 1А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«</w:t>
            </w:r>
            <w:r w:rsidR="00F5187C" w:rsidRPr="00F21E67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="00F5187C" w:rsidRPr="00F21E67">
              <w:rPr>
                <w:rFonts w:ascii="Times New Roman" w:hAnsi="Times New Roman" w:cs="Times New Roman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5E19" w:rsidRPr="00F21E6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19" w:rsidRPr="00F21E6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369" w:rsidRDefault="00666369" w:rsidP="00385E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85E19" w:rsidRPr="00F21E67" w:rsidRDefault="00385E19" w:rsidP="00385E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13B20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21E67" w:rsidRPr="00F21E6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бронхоскопу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візуалізатора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F71B70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E7A" w:rsidRDefault="003E4E7A" w:rsidP="00F71B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71B70" w:rsidRPr="00F21E67" w:rsidRDefault="00F71B70" w:rsidP="00F71B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086FE9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086FE9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C0092E" w:rsidRPr="00F21E67" w:rsidTr="00F71B70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092E" w:rsidRPr="00F21E67" w:rsidRDefault="00C0092E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2E" w:rsidRPr="00F21E67" w:rsidRDefault="00C0092E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E7A" w:rsidRDefault="003E4E7A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0092E" w:rsidRPr="00F21E67" w:rsidRDefault="00C0092E" w:rsidP="003E4E7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дороговартісних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запчастин для ремонту </w:t>
            </w:r>
            <w:r w:rsidR="003E4E7A">
              <w:rPr>
                <w:rFonts w:ascii="Times New Roman" w:eastAsia="Times New Roman" w:hAnsi="Times New Roman" w:cs="Times New Roman"/>
                <w:lang w:val="uk-UA" w:eastAsia="ru-RU"/>
              </w:rPr>
              <w:t>комп’ютерного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2E" w:rsidRPr="00F21E67" w:rsidRDefault="00C0092E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2E" w:rsidRPr="00F21E67" w:rsidRDefault="00C0092E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C0092E" w:rsidRPr="00F21E67" w:rsidRDefault="00C0092E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BA73F4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BA73F4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411F12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BA73F4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21E67" w:rsidRPr="00F21E67" w:rsidTr="00902B6F">
        <w:trPr>
          <w:trHeight w:val="31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E7A" w:rsidRDefault="003E4E7A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249 092,4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97 112,5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F21E67" w:rsidRPr="00F21E6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244 882,4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95 912,5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F21E67" w:rsidRPr="00F21E6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F21E67" w:rsidRPr="00F21E6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E7A" w:rsidRDefault="003E4E7A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666369" w:rsidRDefault="00666369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666369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видатків</w:t>
            </w:r>
            <w:r w:rsidR="0066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КНМП «Лікарня інтенсивного лікування «Кременчуцька»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bookmarkStart w:id="0" w:name="_GoBack"/>
            <w:bookmarkEnd w:id="0"/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E7A" w:rsidRDefault="003E4E7A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666369" w:rsidRDefault="00666369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1 129 134,4</w:t>
            </w:r>
            <w:r w:rsidR="0056112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E7A" w:rsidRDefault="003E4E7A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666369" w:rsidRDefault="00666369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E7A" w:rsidRDefault="003E4E7A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666369" w:rsidRDefault="00666369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432 630,3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E7A" w:rsidRDefault="003E4E7A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666369" w:rsidRDefault="00666369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21E67" w:rsidRPr="00F21E6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402 843,0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152 917,3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21E67" w:rsidRPr="00F21E67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303F9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</w:t>
            </w:r>
            <w:r w:rsidR="00F71B7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303F9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21E67" w:rsidRPr="00F21E6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30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</w:t>
            </w:r>
            <w:r w:rsidR="00303F9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490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303F9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</w:t>
            </w:r>
            <w:r w:rsidR="00F71B7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</w:tbl>
    <w:p w:rsidR="00E87738" w:rsidRPr="00F21E67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7738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6369" w:rsidRPr="00F21E67" w:rsidRDefault="0066636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6369" w:rsidRDefault="0066636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4E5659"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а-начальник Управління</w:t>
      </w:r>
    </w:p>
    <w:p w:rsidR="004E5659" w:rsidRPr="00F21E67" w:rsidRDefault="00666369" w:rsidP="00666369">
      <w:pPr>
        <w:pStyle w:val="a7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лікувально-профілактичної допомоги населенню</w:t>
      </w:r>
      <w:r w:rsidR="00AC3ADB"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Людмила ПОНОМАРЕНКО</w:t>
      </w:r>
    </w:p>
    <w:sectPr w:rsidR="004E5659" w:rsidRPr="00F21E67" w:rsidSect="00703315">
      <w:headerReference w:type="default" r:id="rId8"/>
      <w:pgSz w:w="16838" w:h="11906" w:orient="landscape" w:code="9"/>
      <w:pgMar w:top="312" w:right="567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CB" w:rsidRDefault="00B520CB" w:rsidP="004E5659">
      <w:pPr>
        <w:spacing w:after="0" w:line="240" w:lineRule="auto"/>
      </w:pPr>
      <w:r>
        <w:separator/>
      </w:r>
    </w:p>
  </w:endnote>
  <w:endnote w:type="continuationSeparator" w:id="0">
    <w:p w:rsidR="00B520CB" w:rsidRDefault="00B520CB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CB" w:rsidRDefault="00B520CB" w:rsidP="004E5659">
      <w:pPr>
        <w:spacing w:after="0" w:line="240" w:lineRule="auto"/>
      </w:pPr>
      <w:r>
        <w:separator/>
      </w:r>
    </w:p>
  </w:footnote>
  <w:footnote w:type="continuationSeparator" w:id="0">
    <w:p w:rsidR="00B520CB" w:rsidRDefault="00B520CB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7A" w:rsidRPr="004E5659" w:rsidRDefault="003E4E7A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86FE9"/>
    <w:rsid w:val="000A16EA"/>
    <w:rsid w:val="000C62D8"/>
    <w:rsid w:val="000E6462"/>
    <w:rsid w:val="000F7330"/>
    <w:rsid w:val="000F7950"/>
    <w:rsid w:val="001141D3"/>
    <w:rsid w:val="0011491B"/>
    <w:rsid w:val="00115128"/>
    <w:rsid w:val="00127D58"/>
    <w:rsid w:val="00147FE4"/>
    <w:rsid w:val="001B48E5"/>
    <w:rsid w:val="001E2E7C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85E19"/>
    <w:rsid w:val="00387CC9"/>
    <w:rsid w:val="003C10B9"/>
    <w:rsid w:val="003E4E7A"/>
    <w:rsid w:val="003F5A6E"/>
    <w:rsid w:val="003F72D7"/>
    <w:rsid w:val="00405F10"/>
    <w:rsid w:val="00411F12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26DE0"/>
    <w:rsid w:val="00540635"/>
    <w:rsid w:val="00553E99"/>
    <w:rsid w:val="00561120"/>
    <w:rsid w:val="00571B9E"/>
    <w:rsid w:val="00572A99"/>
    <w:rsid w:val="005C088C"/>
    <w:rsid w:val="005E6D6D"/>
    <w:rsid w:val="005F2702"/>
    <w:rsid w:val="0061753B"/>
    <w:rsid w:val="00620F6C"/>
    <w:rsid w:val="00630330"/>
    <w:rsid w:val="00632208"/>
    <w:rsid w:val="00647251"/>
    <w:rsid w:val="00666369"/>
    <w:rsid w:val="006708F3"/>
    <w:rsid w:val="006953E0"/>
    <w:rsid w:val="006A210E"/>
    <w:rsid w:val="006D7410"/>
    <w:rsid w:val="00703315"/>
    <w:rsid w:val="00726F8E"/>
    <w:rsid w:val="00737462"/>
    <w:rsid w:val="007942DA"/>
    <w:rsid w:val="007F6CD7"/>
    <w:rsid w:val="00837F3D"/>
    <w:rsid w:val="00841F79"/>
    <w:rsid w:val="00842C3D"/>
    <w:rsid w:val="00845BB0"/>
    <w:rsid w:val="008A7923"/>
    <w:rsid w:val="008C2055"/>
    <w:rsid w:val="00902127"/>
    <w:rsid w:val="00902B6F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D66F7"/>
    <w:rsid w:val="009E6BFE"/>
    <w:rsid w:val="00A16D14"/>
    <w:rsid w:val="00A30F13"/>
    <w:rsid w:val="00A35340"/>
    <w:rsid w:val="00A85E14"/>
    <w:rsid w:val="00A909CC"/>
    <w:rsid w:val="00AC3ADB"/>
    <w:rsid w:val="00B43BCD"/>
    <w:rsid w:val="00B520CB"/>
    <w:rsid w:val="00B60CCE"/>
    <w:rsid w:val="00B827AA"/>
    <w:rsid w:val="00B92C6B"/>
    <w:rsid w:val="00BA73F4"/>
    <w:rsid w:val="00BD6935"/>
    <w:rsid w:val="00C0092E"/>
    <w:rsid w:val="00C47C2F"/>
    <w:rsid w:val="00C9291A"/>
    <w:rsid w:val="00C969C8"/>
    <w:rsid w:val="00CB6620"/>
    <w:rsid w:val="00CC0061"/>
    <w:rsid w:val="00CE26DA"/>
    <w:rsid w:val="00D73B49"/>
    <w:rsid w:val="00D76584"/>
    <w:rsid w:val="00E10058"/>
    <w:rsid w:val="00E1092C"/>
    <w:rsid w:val="00E41C27"/>
    <w:rsid w:val="00E42C89"/>
    <w:rsid w:val="00E7186D"/>
    <w:rsid w:val="00E87738"/>
    <w:rsid w:val="00EA63EC"/>
    <w:rsid w:val="00EE5F94"/>
    <w:rsid w:val="00F21E67"/>
    <w:rsid w:val="00F5187C"/>
    <w:rsid w:val="00F53A7F"/>
    <w:rsid w:val="00F71B70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E28F-2A61-4FA9-80D4-44C489C1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2024-06-19T06:12:00Z</cp:lastPrinted>
  <dcterms:created xsi:type="dcterms:W3CDTF">2024-06-19T06:15:00Z</dcterms:created>
  <dcterms:modified xsi:type="dcterms:W3CDTF">2024-06-19T06:15:00Z</dcterms:modified>
</cp:coreProperties>
</file>