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C7" w:rsidRDefault="00635BA5" w:rsidP="00635BA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5BA5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</w:p>
    <w:p w:rsidR="00635BA5" w:rsidRDefault="003841BB" w:rsidP="00635BA5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635BA5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</w:t>
      </w:r>
    </w:p>
    <w:p w:rsidR="00635BA5" w:rsidRDefault="00635BA5" w:rsidP="00635BA5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Кременчуцького </w:t>
      </w:r>
    </w:p>
    <w:p w:rsidR="00635BA5" w:rsidRDefault="00635BA5" w:rsidP="00635BA5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району Полтавської області </w:t>
      </w:r>
    </w:p>
    <w:p w:rsidR="00635BA5" w:rsidRPr="00635BA5" w:rsidRDefault="002C718E" w:rsidP="00635BA5">
      <w:pPr>
        <w:spacing w:after="0"/>
        <w:ind w:left="59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635BA5">
        <w:rPr>
          <w:rFonts w:ascii="Times New Roman" w:hAnsi="Times New Roman" w:cs="Times New Roman"/>
          <w:sz w:val="28"/>
          <w:szCs w:val="28"/>
          <w:lang w:val="uk-UA"/>
        </w:rPr>
        <w:t xml:space="preserve"> травня 2024 року</w:t>
      </w:r>
    </w:p>
    <w:p w:rsidR="00635BA5" w:rsidRPr="002B6B5A" w:rsidRDefault="00635BA5" w:rsidP="00635BA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35BA5" w:rsidRPr="00635BA5" w:rsidRDefault="00635BA5" w:rsidP="00635BA5">
      <w:pPr>
        <w:pStyle w:val="a1"/>
        <w:ind w:left="720" w:hanging="720"/>
        <w:jc w:val="bot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Кому:</w:t>
      </w:r>
      <w:r w:rsidRPr="00635BA5">
        <w:rPr>
          <w:rFonts w:ascii="Times New Roman" w:hAnsi="Times New Roman" w:cs="Times New Roman"/>
          <w:lang w:val="uk-UA"/>
        </w:rPr>
        <w:tab/>
        <w:t>КОМУНАЛЬНЕ ГОСПРОЗРАХУНКОВЕ ЖИТЛОВО-ЕКСПЛУАТАЦІЙНЕ ПІДПРИЄМСТВО "АВТОЗАВОДСЬКЕ" КРЕМЕНЧУЦЬКОЇ МІСЬКОЇ РАДИ КРЕМЕНЧУЦЬКОГО РАЙОНУ ПОЛТАВСЬКОЇ ОБЛАСТІ ("</w:t>
      </w:r>
      <w:proofErr w:type="spellStart"/>
      <w:r w:rsidRPr="00635BA5">
        <w:rPr>
          <w:rFonts w:ascii="Times New Roman" w:hAnsi="Times New Roman" w:cs="Times New Roman"/>
          <w:b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>")</w:t>
      </w:r>
    </w:p>
    <w:p w:rsidR="00635BA5" w:rsidRPr="00635BA5" w:rsidRDefault="00635BA5" w:rsidP="00635BA5">
      <w:pPr>
        <w:pStyle w:val="a1"/>
        <w:ind w:left="720" w:hanging="720"/>
        <w:jc w:val="bot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ab/>
        <w:t>КРЕМЕНЧУЦЬКА МІСЬКА РАДА КРЕМЕНЧУЦЬКОГО РАЙОНУ ПОЛТАВСЬКОЇ ОБЛАСТІ ("</w:t>
      </w:r>
      <w:r w:rsidRPr="00635BA5">
        <w:rPr>
          <w:rFonts w:ascii="Times New Roman" w:hAnsi="Times New Roman" w:cs="Times New Roman"/>
          <w:b/>
          <w:lang w:val="uk-UA"/>
        </w:rPr>
        <w:t>Міська Рада</w:t>
      </w:r>
      <w:r w:rsidRPr="00635BA5">
        <w:rPr>
          <w:rFonts w:ascii="Times New Roman" w:hAnsi="Times New Roman" w:cs="Times New Roman"/>
          <w:lang w:val="uk-UA"/>
        </w:rPr>
        <w:t>")</w:t>
      </w:r>
    </w:p>
    <w:p w:rsidR="00635BA5" w:rsidRPr="00635BA5" w:rsidRDefault="00635BA5" w:rsidP="00635BA5">
      <w:pPr>
        <w:pStyle w:val="a1"/>
        <w:ind w:left="720" w:hanging="720"/>
        <w:jc w:val="bot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ab/>
      </w:r>
      <w:bookmarkStart w:id="0" w:name="_Hlk166670725"/>
      <w:r w:rsidRPr="00635BA5">
        <w:rPr>
          <w:rFonts w:ascii="Times New Roman" w:hAnsi="Times New Roman" w:cs="Times New Roman"/>
          <w:lang w:val="uk-UA"/>
        </w:rPr>
        <w:t>ВИКОНАВЧИЙ КОМІТЕТ КРЕМЕНЧУЦЬКОЇ МІСЬКОЇ РАДИ КРЕМЕНЧУЦЬКОГО РАЙОНУ ПОЛТАВСЬКОЇ ОБЛАСТІ</w:t>
      </w:r>
      <w:bookmarkEnd w:id="0"/>
      <w:r w:rsidRPr="00635BA5">
        <w:rPr>
          <w:rFonts w:ascii="Times New Roman" w:hAnsi="Times New Roman" w:cs="Times New Roman"/>
          <w:lang w:val="uk-UA"/>
        </w:rPr>
        <w:t xml:space="preserve"> ("</w:t>
      </w:r>
      <w:r w:rsidRPr="00635BA5">
        <w:rPr>
          <w:rFonts w:ascii="Times New Roman" w:hAnsi="Times New Roman" w:cs="Times New Roman"/>
          <w:b/>
          <w:lang w:val="uk-UA"/>
        </w:rPr>
        <w:t>Виконавчий Комітет</w:t>
      </w:r>
      <w:r w:rsidRPr="00635BA5">
        <w:rPr>
          <w:rFonts w:ascii="Times New Roman" w:hAnsi="Times New Roman" w:cs="Times New Roman"/>
          <w:lang w:val="uk-UA"/>
        </w:rPr>
        <w:t>")</w:t>
      </w: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t>Лист про внесення змін до Грантового договору</w:t>
      </w: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Шановні панове!</w:t>
      </w:r>
      <w:bookmarkStart w:id="1" w:name="_GoBack"/>
      <w:bookmarkEnd w:id="1"/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 xml:space="preserve">Ми посилаємося на Грантовий договір від 16 червня 2023 року між </w:t>
      </w:r>
      <w:proofErr w:type="spellStart"/>
      <w:r w:rsidRPr="00635BA5">
        <w:rPr>
          <w:lang w:val="uk-UA"/>
        </w:rPr>
        <w:t>Грантоотримувачем</w:t>
      </w:r>
      <w:proofErr w:type="spellEnd"/>
      <w:r w:rsidRPr="00635BA5">
        <w:rPr>
          <w:lang w:val="uk-UA"/>
        </w:rPr>
        <w:t>, Міською Радою, Виконавчим Комітетом та МІЖНАРОДНОЮ ФІНАНСОВОЮ КОРПОРАЦІЄЮ (надалі – "</w:t>
      </w:r>
      <w:r w:rsidRPr="00635BA5">
        <w:rPr>
          <w:b/>
          <w:bCs/>
          <w:lang w:val="uk-UA"/>
        </w:rPr>
        <w:t>МФК</w:t>
      </w:r>
      <w:r w:rsidRPr="00635BA5">
        <w:rPr>
          <w:lang w:val="uk-UA"/>
        </w:rPr>
        <w:t>") (такий договір надалі – "</w:t>
      </w:r>
      <w:r w:rsidRPr="00635BA5">
        <w:rPr>
          <w:b/>
          <w:lang w:val="uk-UA"/>
        </w:rPr>
        <w:t>Договір</w:t>
      </w:r>
      <w:r w:rsidRPr="00635BA5">
        <w:rPr>
          <w:lang w:val="uk-UA"/>
        </w:rPr>
        <w:t>"). Терміни, визначені в Договорі, вживаються у цьому листі про внесення змін (надалі – "</w:t>
      </w:r>
      <w:r w:rsidRPr="00635BA5">
        <w:rPr>
          <w:b/>
          <w:lang w:val="uk-UA"/>
        </w:rPr>
        <w:t>Лист про Внесення Змін</w:t>
      </w:r>
      <w:r w:rsidRPr="00635BA5">
        <w:rPr>
          <w:lang w:val="uk-UA"/>
        </w:rPr>
        <w:t>") в такому самому значенні, якщо їм не надано іншого значення у цьому Листі про Внесення Змін.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 xml:space="preserve">З огляду на оновлену Грантову політику Донорів щодо реновації комунальних будівель для внутрішньо переміщених осіб в Україні Сторони домовилися </w:t>
      </w:r>
      <w:proofErr w:type="spellStart"/>
      <w:r w:rsidRPr="00635BA5">
        <w:rPr>
          <w:lang w:val="uk-UA"/>
        </w:rPr>
        <w:t>внести</w:t>
      </w:r>
      <w:proofErr w:type="spellEnd"/>
      <w:r w:rsidRPr="00635BA5">
        <w:rPr>
          <w:lang w:val="uk-UA"/>
        </w:rPr>
        <w:t xml:space="preserve"> зміни до Договору, щоб відобразити оновлені умови зазначеної грантової політики.</w:t>
      </w:r>
    </w:p>
    <w:p w:rsidR="00635BA5" w:rsidRPr="00635BA5" w:rsidRDefault="00635BA5" w:rsidP="00635BA5">
      <w:pPr>
        <w:pStyle w:val="2"/>
        <w:rPr>
          <w:lang w:val="uk-UA"/>
        </w:rPr>
      </w:pPr>
      <w:bookmarkStart w:id="2" w:name="_Ref141125247"/>
      <w:r w:rsidRPr="00635BA5">
        <w:rPr>
          <w:lang w:val="uk-UA"/>
        </w:rPr>
        <w:t>Відповідно, Сторони домовилися, що з дати цього Листа про Внесення Змін (надалі – "</w:t>
      </w:r>
      <w:r w:rsidRPr="00635BA5">
        <w:rPr>
          <w:b/>
          <w:bCs/>
          <w:lang w:val="uk-UA"/>
        </w:rPr>
        <w:t>Дата Набрання Чинності Листом про Внесення Змін</w:t>
      </w:r>
      <w:r w:rsidRPr="00635BA5">
        <w:rPr>
          <w:lang w:val="uk-UA"/>
        </w:rPr>
        <w:t xml:space="preserve">") до Договору вносяться зміни, зазначені в цьому пункті </w:t>
      </w:r>
      <w:r w:rsidRPr="00635BA5">
        <w:rPr>
          <w:lang w:val="uk-UA"/>
        </w:rPr>
        <w:fldChar w:fldCharType="begin"/>
      </w:r>
      <w:r w:rsidRPr="00635BA5">
        <w:rPr>
          <w:lang w:val="uk-UA"/>
        </w:rPr>
        <w:instrText xml:space="preserve"> REF _Ref141125247 \r \h </w:instrText>
      </w:r>
      <w:r>
        <w:rPr>
          <w:lang w:val="uk-UA"/>
        </w:rPr>
        <w:instrText xml:space="preserve"> \* MERGEFORMAT </w:instrText>
      </w:r>
      <w:r w:rsidRPr="00635BA5">
        <w:rPr>
          <w:lang w:val="uk-UA"/>
        </w:rPr>
      </w:r>
      <w:r w:rsidRPr="00635BA5">
        <w:rPr>
          <w:lang w:val="uk-UA"/>
        </w:rPr>
        <w:fldChar w:fldCharType="separate"/>
      </w:r>
      <w:r w:rsidR="003F7BBE">
        <w:rPr>
          <w:lang w:val="uk-UA"/>
        </w:rPr>
        <w:t>3</w:t>
      </w:r>
      <w:r w:rsidRPr="00635BA5">
        <w:rPr>
          <w:lang w:val="uk-UA"/>
        </w:rPr>
        <w:fldChar w:fldCharType="end"/>
      </w:r>
      <w:r w:rsidRPr="00635BA5">
        <w:rPr>
          <w:lang w:val="uk-UA"/>
        </w:rPr>
        <w:t>:</w:t>
      </w:r>
    </w:p>
    <w:bookmarkEnd w:id="2"/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Стаття 1.1 (</w:t>
      </w:r>
      <w:r w:rsidRPr="00635BA5">
        <w:rPr>
          <w:rFonts w:ascii="Times New Roman" w:hAnsi="Times New Roman" w:cs="Times New Roman"/>
          <w:i/>
          <w:iCs/>
          <w:lang w:val="uk-UA"/>
        </w:rPr>
        <w:t>Визначення термінів</w:t>
      </w:r>
      <w:r w:rsidRPr="00635BA5">
        <w:rPr>
          <w:rFonts w:ascii="Times New Roman" w:hAnsi="Times New Roman" w:cs="Times New Roman"/>
          <w:lang w:val="uk-UA"/>
        </w:rPr>
        <w:t>) доповнюється термінами "Кінцевий Термін Подачі Заявки на Перший Транш" та "Політика МФК про Доступ до Інформації" наступного змісту:</w:t>
      </w:r>
    </w:p>
    <w:p w:rsidR="00635BA5" w:rsidRPr="00635BA5" w:rsidRDefault="00635BA5" w:rsidP="00635BA5">
      <w:pPr>
        <w:pStyle w:val="4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 "</w:t>
      </w:r>
      <w:r w:rsidRPr="00635BA5">
        <w:rPr>
          <w:rStyle w:val="Definition"/>
          <w:rFonts w:ascii="Times New Roman" w:hAnsi="Times New Roman" w:cs="Times New Roman"/>
          <w:lang w:val="uk-UA"/>
        </w:rPr>
        <w:t>Кінцевий Термін Подачі Заявки на Перший Транш</w:t>
      </w:r>
      <w:r w:rsidRPr="00635BA5">
        <w:rPr>
          <w:rFonts w:ascii="Times New Roman" w:hAnsi="Times New Roman" w:cs="Times New Roman"/>
          <w:lang w:val="uk-UA"/>
        </w:rPr>
        <w:t xml:space="preserve">" означає, стосовно будь-якого Проекту, 15 січня 2025 року або іншу пізнішу дату, яка може бути повідомлена МФК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Грантоотримувачу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в письмовій формі."</w:t>
      </w:r>
    </w:p>
    <w:p w:rsidR="00635BA5" w:rsidRPr="00635BA5" w:rsidRDefault="00635BA5" w:rsidP="00635BA5">
      <w:pPr>
        <w:pStyle w:val="4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 "</w:t>
      </w:r>
      <w:r w:rsidRPr="00635BA5">
        <w:rPr>
          <w:rStyle w:val="Definition"/>
          <w:rFonts w:ascii="Times New Roman" w:hAnsi="Times New Roman" w:cs="Times New Roman"/>
          <w:lang w:val="uk-UA"/>
        </w:rPr>
        <w:t>Політика МФК про Доступ до Інформації</w:t>
      </w:r>
      <w:r w:rsidRPr="00635BA5">
        <w:rPr>
          <w:rFonts w:ascii="Times New Roman" w:hAnsi="Times New Roman" w:cs="Times New Roman"/>
          <w:lang w:val="uk-UA"/>
        </w:rPr>
        <w:t xml:space="preserve">" означає Політику МФК про доступ до інформації від 1 січня 2012 року (з поправками, змінами, доповненнями, замінами або викладенням в новій редакції), яка доступна на </w:t>
      </w:r>
      <w:proofErr w:type="spellStart"/>
      <w:r w:rsidRPr="00635BA5">
        <w:rPr>
          <w:rFonts w:ascii="Times New Roman" w:hAnsi="Times New Roman" w:cs="Times New Roman"/>
          <w:lang w:val="uk-UA"/>
        </w:rPr>
        <w:t>вебсайті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МФК за посиланням </w:t>
      </w:r>
      <w:hyperlink r:id="rId7" w:history="1">
        <w:r w:rsidRPr="00635BA5">
          <w:rPr>
            <w:rStyle w:val="a7"/>
            <w:rFonts w:ascii="Times New Roman" w:hAnsi="Times New Roman" w:cs="Times New Roman"/>
            <w:lang w:val="uk-UA"/>
          </w:rPr>
          <w:t>www.ifc.org/Disclosure</w:t>
        </w:r>
      </w:hyperlink>
      <w:r w:rsidRPr="00635BA5">
        <w:rPr>
          <w:rFonts w:ascii="Times New Roman" w:hAnsi="Times New Roman" w:cs="Times New Roman"/>
          <w:lang w:val="uk-UA"/>
        </w:rPr>
        <w:t>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визначення терміну "Критерії Прийнятності Будівель" в Статті 1.1 (</w:t>
      </w:r>
      <w:r w:rsidRPr="00635BA5">
        <w:rPr>
          <w:rFonts w:ascii="Times New Roman" w:hAnsi="Times New Roman" w:cs="Times New Roman"/>
          <w:i/>
          <w:iCs/>
          <w:lang w:val="uk-UA"/>
        </w:rPr>
        <w:t>Визначення термінів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DefinitionParagrap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 xml:space="preserve">" </w:t>
      </w:r>
      <w:bookmarkStart w:id="3" w:name="_9kMHG5YVt7DB79H"/>
      <w:r w:rsidRPr="00635BA5">
        <w:rPr>
          <w:rFonts w:ascii="Times New Roman" w:hAnsi="Times New Roman" w:cs="Times New Roman"/>
          <w:lang w:val="uk-UA"/>
        </w:rPr>
        <w:t>"</w:t>
      </w:r>
      <w:r w:rsidRPr="00635BA5">
        <w:rPr>
          <w:rStyle w:val="Definition"/>
          <w:rFonts w:ascii="Times New Roman" w:hAnsi="Times New Roman" w:cs="Times New Roman"/>
          <w:lang w:val="uk-UA"/>
        </w:rPr>
        <w:t>Критерії Прийнятності Будівель</w:t>
      </w:r>
      <w:r w:rsidRPr="00635BA5">
        <w:rPr>
          <w:rFonts w:ascii="Times New Roman" w:hAnsi="Times New Roman" w:cs="Times New Roman"/>
          <w:lang w:val="uk-UA"/>
        </w:rPr>
        <w:t>" означає наступні критерії, що поширюються на Будівлю Комунальної Власності:</w:t>
      </w:r>
    </w:p>
    <w:p w:rsidR="00635BA5" w:rsidRPr="00635BA5" w:rsidRDefault="00635BA5" w:rsidP="00635BA5">
      <w:pPr>
        <w:pStyle w:val="D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вона повинна перебувати у власності:</w:t>
      </w:r>
    </w:p>
    <w:p w:rsidR="00635BA5" w:rsidRPr="00635BA5" w:rsidRDefault="00635BA5" w:rsidP="00635BA5">
      <w:pPr>
        <w:pStyle w:val="Di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Міста; або</w:t>
      </w:r>
    </w:p>
    <w:p w:rsidR="00635BA5" w:rsidRPr="00635BA5" w:rsidRDefault="00635BA5" w:rsidP="00635BA5">
      <w:pPr>
        <w:pStyle w:val="Di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lastRenderedPageBreak/>
        <w:t>обласної ради, яка передала таку будівлю Місту на праві оперативного управління, як цей термін визначено чинним законодавством України, на строк щонайменше шість років; або</w:t>
      </w:r>
    </w:p>
    <w:p w:rsidR="00635BA5" w:rsidRPr="00635BA5" w:rsidRDefault="00635BA5" w:rsidP="00635BA5">
      <w:pPr>
        <w:pStyle w:val="Di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територіальної громади в Україні, відмінної від Міста, яка передала таку будівлю Місту відповідно до чинного законодавства України на строк щонайменше шість років;</w:t>
      </w:r>
    </w:p>
    <w:p w:rsidR="00635BA5" w:rsidRPr="00635BA5" w:rsidRDefault="00635BA5" w:rsidP="00635BA5">
      <w:pPr>
        <w:pStyle w:val="D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вона повинна знаходитись подалі від військових об'єктів, що можуть стати потенційною мішенню для влучання, і не повинна використовуватись для цілей підтримки військової діяльності;</w:t>
      </w:r>
    </w:p>
    <w:p w:rsidR="00635BA5" w:rsidRPr="00635BA5" w:rsidRDefault="00635BA5" w:rsidP="00635BA5">
      <w:pPr>
        <w:pStyle w:val="D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вона не має бути в аварійному стані (як цей термін визначено чинним законодавством України);</w:t>
      </w:r>
    </w:p>
    <w:p w:rsidR="00635BA5" w:rsidRPr="00635BA5" w:rsidRDefault="00635BA5" w:rsidP="00635BA5">
      <w:pPr>
        <w:pStyle w:val="D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вона повинна бути підключена до інженерних мереж (тобто опалення, електрики, води, каналізації, збору відходів) після завершення будівельних робіт; та</w:t>
      </w:r>
    </w:p>
    <w:p w:rsidR="00635BA5" w:rsidRPr="00635BA5" w:rsidRDefault="00635BA5" w:rsidP="00635BA5">
      <w:pPr>
        <w:pStyle w:val="D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вона повинна знаходитись поблизу об'єктів соціальної інфраструктури (наприклад, громадського транспорту, шкіл, дитячих садочків, медичних закладів), щоб забезпечити можливість працевлаштування ВПО, які проживатимуть у цій будівлі."</w:t>
      </w:r>
      <w:bookmarkEnd w:id="3"/>
    </w:p>
    <w:p w:rsidR="00635BA5" w:rsidRPr="00635BA5" w:rsidRDefault="00635BA5" w:rsidP="00635BA5">
      <w:pPr>
        <w:pStyle w:val="3"/>
        <w:ind w:left="706" w:hanging="706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визначення терміну "Період Доступності Грантів" в Статті 1.1 (</w:t>
      </w:r>
      <w:r w:rsidRPr="00635BA5">
        <w:rPr>
          <w:rFonts w:ascii="Times New Roman" w:hAnsi="Times New Roman" w:cs="Times New Roman"/>
          <w:i/>
          <w:iCs/>
          <w:lang w:val="uk-UA"/>
        </w:rPr>
        <w:t>Визначення термінів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a2"/>
        <w:ind w:left="706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 "</w:t>
      </w:r>
      <w:r w:rsidRPr="00635BA5">
        <w:rPr>
          <w:rFonts w:ascii="Times New Roman" w:hAnsi="Times New Roman" w:cs="Times New Roman"/>
          <w:b/>
          <w:bCs/>
          <w:lang w:val="uk-UA"/>
        </w:rPr>
        <w:t>Період Доступності Грантів</w:t>
      </w:r>
      <w:r w:rsidRPr="00635BA5">
        <w:rPr>
          <w:rFonts w:ascii="Times New Roman" w:hAnsi="Times New Roman" w:cs="Times New Roman"/>
          <w:lang w:val="uk-UA"/>
        </w:rPr>
        <w:t xml:space="preserve">" означає період починаючи з Дати Набрання Чинності до 30 вересня 2025 року включно або більш пізньої дати, повідомленої МФК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Грантоотримувачу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у письмовій формі."</w:t>
      </w:r>
    </w:p>
    <w:p w:rsidR="00635BA5" w:rsidRPr="00635BA5" w:rsidRDefault="00635BA5" w:rsidP="00635BA5">
      <w:pPr>
        <w:pStyle w:val="3"/>
        <w:ind w:left="706" w:hanging="706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визначення терміну "Кінцевий Термін Завершення Проекту" в Статті 1.1 (</w:t>
      </w:r>
      <w:r w:rsidRPr="00635BA5">
        <w:rPr>
          <w:rFonts w:ascii="Times New Roman" w:hAnsi="Times New Roman" w:cs="Times New Roman"/>
          <w:i/>
          <w:iCs/>
          <w:lang w:val="uk-UA"/>
        </w:rPr>
        <w:t>Визначення термінів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DefinitionParagrap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 "</w:t>
      </w:r>
      <w:r w:rsidRPr="00635BA5">
        <w:rPr>
          <w:rStyle w:val="Definition"/>
          <w:rFonts w:ascii="Times New Roman" w:hAnsi="Times New Roman" w:cs="Times New Roman"/>
          <w:lang w:val="uk-UA"/>
        </w:rPr>
        <w:t>Кінцевий Термін Завершення Проекту</w:t>
      </w:r>
      <w:r w:rsidRPr="00635BA5">
        <w:rPr>
          <w:rFonts w:ascii="Times New Roman" w:hAnsi="Times New Roman" w:cs="Times New Roman"/>
          <w:lang w:val="uk-UA"/>
        </w:rPr>
        <w:t xml:space="preserve">" означає, стосовно будь-якого Проекту, 30 вересня 2025 року або іншу пізнішу дату, яка може бути повідомлена МФК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Грантоотримувачу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в письмовій формі."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визначення терміну "Гранична Сума" в Статті 1.1 (</w:t>
      </w:r>
      <w:r w:rsidRPr="00635BA5">
        <w:rPr>
          <w:rFonts w:ascii="Times New Roman" w:hAnsi="Times New Roman" w:cs="Times New Roman"/>
          <w:i/>
          <w:iCs/>
          <w:lang w:val="uk-UA"/>
        </w:rPr>
        <w:t>Визначення термінів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DefinitionParagraph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 "</w:t>
      </w:r>
      <w:r w:rsidRPr="00635BA5">
        <w:rPr>
          <w:rStyle w:val="Definition"/>
          <w:rFonts w:ascii="Times New Roman" w:hAnsi="Times New Roman" w:cs="Times New Roman"/>
          <w:lang w:val="uk-UA"/>
        </w:rPr>
        <w:t>Гранична Сума</w:t>
      </w:r>
      <w:r w:rsidRPr="00635BA5">
        <w:rPr>
          <w:rFonts w:ascii="Times New Roman" w:hAnsi="Times New Roman" w:cs="Times New Roman"/>
          <w:lang w:val="uk-UA"/>
        </w:rPr>
        <w:t xml:space="preserve">" означає суму в розмірі 6 000 доларів США або таку більшу суму, яку МФК повідомить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Грантоотримувачу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у письмовій формі."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пункту (</w:t>
      </w:r>
      <w:r w:rsidRPr="00635BA5">
        <w:rPr>
          <w:rFonts w:ascii="Times New Roman" w:hAnsi="Times New Roman" w:cs="Times New Roman"/>
          <w:lang w:val="en-US"/>
        </w:rPr>
        <w:t>c</w:t>
      </w:r>
      <w:r w:rsidRPr="00635BA5">
        <w:rPr>
          <w:rFonts w:ascii="Times New Roman" w:hAnsi="Times New Roman" w:cs="Times New Roman"/>
          <w:lang w:val="uk-UA"/>
        </w:rPr>
        <w:t>) Статті 5.1 (</w:t>
      </w:r>
      <w:r w:rsidRPr="00635BA5">
        <w:rPr>
          <w:rFonts w:ascii="Times New Roman" w:hAnsi="Times New Roman" w:cs="Times New Roman"/>
          <w:i/>
          <w:iCs/>
          <w:lang w:val="uk-UA"/>
        </w:rPr>
        <w:t>Порядок виплати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</w:t>
      </w:r>
      <w:r w:rsidRPr="00635BA5">
        <w:rPr>
          <w:rFonts w:ascii="Times New Roman" w:hAnsi="Times New Roman" w:cs="Times New Roman"/>
        </w:rPr>
        <w:t>c</w:t>
      </w:r>
      <w:r w:rsidRPr="00635BA5">
        <w:rPr>
          <w:rFonts w:ascii="Times New Roman" w:hAnsi="Times New Roman" w:cs="Times New Roman"/>
          <w:lang w:val="uk-UA"/>
        </w:rPr>
        <w:t>)</w:t>
      </w:r>
      <w:r w:rsidRPr="00635BA5">
        <w:rPr>
          <w:rFonts w:ascii="Times New Roman" w:hAnsi="Times New Roman" w:cs="Times New Roman"/>
          <w:lang w:val="uk-UA"/>
        </w:rPr>
        <w:tab/>
        <w:t xml:space="preserve">Для того, щоб отримати будь-який Транш,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має надати МФК належним чином заповнену Заявку на Виплату Гранту та інші документи та інформацію, зазначені в Додатку 4 (</w:t>
      </w:r>
      <w:r w:rsidRPr="00635BA5">
        <w:rPr>
          <w:rFonts w:ascii="Times New Roman" w:hAnsi="Times New Roman" w:cs="Times New Roman"/>
          <w:i/>
          <w:iCs/>
          <w:lang w:val="uk-UA"/>
        </w:rPr>
        <w:t>Умови Виплати Гранту</w:t>
      </w:r>
      <w:r w:rsidRPr="00635BA5">
        <w:rPr>
          <w:rFonts w:ascii="Times New Roman" w:hAnsi="Times New Roman" w:cs="Times New Roman"/>
          <w:lang w:val="uk-UA"/>
        </w:rPr>
        <w:t>). Заявка на Виплату Гранту для Першого Траншу разом з усіма супровідними документами та інформацією має бути надана МФК не пізніше Кінцевого Терміну Подачі Заявки на Перший Транш, а для Другого Траншу – протягом Періоду Доступності Грантів. Будь-яка Заявка на Виплату Гранту або інший супровідний документ та інформація, надані після закінчення відповідного кінцевого терміну, не приймаються МФК, і МФК не виплачуватиме будь-який Транш на основі таких документів та інформації."</w:t>
      </w:r>
    </w:p>
    <w:p w:rsidR="00635BA5" w:rsidRPr="00635BA5" w:rsidRDefault="00635BA5" w:rsidP="00635BA5">
      <w:pPr>
        <w:pStyle w:val="3"/>
        <w:keepNext/>
        <w:ind w:left="706" w:hanging="706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Стаття 6.6 (</w:t>
      </w:r>
      <w:r w:rsidRPr="00635BA5">
        <w:rPr>
          <w:rFonts w:ascii="Times New Roman" w:hAnsi="Times New Roman" w:cs="Times New Roman"/>
          <w:i/>
          <w:iCs/>
          <w:lang w:val="uk-UA"/>
        </w:rPr>
        <w:t>Будівельна документація</w:t>
      </w:r>
      <w:r w:rsidRPr="00635BA5">
        <w:rPr>
          <w:rFonts w:ascii="Times New Roman" w:hAnsi="Times New Roman" w:cs="Times New Roman"/>
          <w:lang w:val="uk-UA"/>
        </w:rPr>
        <w:t>) доповнюється новим пунктом (b) наступного змісту: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"(b)</w:t>
      </w:r>
      <w:r w:rsidRPr="00635BA5">
        <w:rPr>
          <w:rFonts w:ascii="Times New Roman" w:hAnsi="Times New Roman" w:cs="Times New Roman"/>
          <w:lang w:val="uk-UA"/>
        </w:rPr>
        <w:tab/>
        <w:t xml:space="preserve">Без обмежень викладеного в пункті (a) вище,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зобов'язаний забезпечити та письмово підтвердити МФК, що будівельна документація та/або Проектна Документація, або дефектний акт і відповідна кошторисна документація (якщо Проект </w:t>
      </w:r>
      <w:r w:rsidRPr="00635BA5">
        <w:rPr>
          <w:rFonts w:ascii="Times New Roman" w:hAnsi="Times New Roman" w:cs="Times New Roman"/>
          <w:lang w:val="uk-UA"/>
        </w:rPr>
        <w:lastRenderedPageBreak/>
        <w:t>реалізується на підставі дефектного акту без Проектної Документації, за умови, що це дозволено чинним законодавством України) передбачає(-</w:t>
      </w:r>
      <w:proofErr w:type="spellStart"/>
      <w:r w:rsidRPr="00635BA5">
        <w:rPr>
          <w:rFonts w:ascii="Times New Roman" w:hAnsi="Times New Roman" w:cs="Times New Roman"/>
          <w:lang w:val="uk-UA"/>
        </w:rPr>
        <w:t>ють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) впровадження заходів пожежної безпеки, </w:t>
      </w:r>
      <w:proofErr w:type="spellStart"/>
      <w:r w:rsidRPr="00635BA5">
        <w:rPr>
          <w:rFonts w:ascii="Times New Roman" w:hAnsi="Times New Roman" w:cs="Times New Roman"/>
          <w:lang w:val="uk-UA"/>
        </w:rPr>
        <w:t>інклюзивності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та можливості доступу до споруд (приміщень) цивільного захисту в Прийнятній Будівлі. У разі неможливості забезпечення доступу до споруд (приміщень) цивільного захисту в Прийнятній Будівлі такий доступ має бути забезпечений в іншій будівлі відповідно до вимог законодавства України та у задовільний для МФК спосіб; за умови, однак, що таке задоволення з боку МФК або відсутність заперечень з її боку не вважається гарантією якості, схваленням або гарантією відповідності з боку МФК щодо будь-якої Прийнятної Будівлі. Зазначене письмове підтвердження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Грантоотримувача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має бути надане МФК разом з Заявкою на Виплату Гранту для Першого Траншу.",</w:t>
      </w:r>
    </w:p>
    <w:p w:rsidR="00635BA5" w:rsidRPr="00635BA5" w:rsidRDefault="00635BA5" w:rsidP="00635BA5">
      <w:pPr>
        <w:pStyle w:val="a2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і, відповідно, існуючий пункт (b) стає пунктом (c).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першого речення пункту (a) Статті 6.7 (</w:t>
      </w:r>
      <w:r w:rsidRPr="00635BA5">
        <w:rPr>
          <w:rFonts w:ascii="Times New Roman" w:hAnsi="Times New Roman" w:cs="Times New Roman"/>
          <w:i/>
          <w:iCs/>
          <w:lang w:val="uk-UA"/>
        </w:rPr>
        <w:t>Звітність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a2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 xml:space="preserve">"15 червня та 15 грудня кожного календарного року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повинен надати МФК звіт, що містить дані та інформацію, зазначену в Частині I (</w:t>
      </w:r>
      <w:r w:rsidRPr="00635BA5">
        <w:rPr>
          <w:rFonts w:ascii="Times New Roman" w:hAnsi="Times New Roman" w:cs="Times New Roman"/>
          <w:i/>
          <w:iCs/>
          <w:lang w:val="uk-UA"/>
        </w:rPr>
        <w:t>Звіт про стан виконання</w:t>
      </w:r>
      <w:r w:rsidRPr="00635BA5">
        <w:rPr>
          <w:rFonts w:ascii="Times New Roman" w:hAnsi="Times New Roman" w:cs="Times New Roman"/>
          <w:lang w:val="uk-UA"/>
        </w:rPr>
        <w:t>) Додатку 9 (</w:t>
      </w:r>
      <w:r w:rsidRPr="00635BA5">
        <w:rPr>
          <w:rFonts w:ascii="Times New Roman" w:hAnsi="Times New Roman" w:cs="Times New Roman"/>
          <w:i/>
          <w:iCs/>
          <w:lang w:val="uk-UA"/>
        </w:rPr>
        <w:t>Звітні дані та інформація</w:t>
      </w:r>
      <w:r w:rsidRPr="00635BA5">
        <w:rPr>
          <w:rFonts w:ascii="Times New Roman" w:hAnsi="Times New Roman" w:cs="Times New Roman"/>
          <w:lang w:val="uk-UA"/>
        </w:rPr>
        <w:t>), за формою та змістом, задовільними для МФК, щодо кожного Проекту окремо."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Статті 7.2 (</w:t>
      </w:r>
      <w:r w:rsidRPr="00635BA5">
        <w:rPr>
          <w:rFonts w:ascii="Times New Roman" w:hAnsi="Times New Roman" w:cs="Times New Roman"/>
          <w:i/>
          <w:iCs/>
          <w:lang w:val="uk-UA"/>
        </w:rPr>
        <w:t>Обмін інформацією</w:t>
      </w:r>
      <w:r w:rsidRPr="00635BA5">
        <w:rPr>
          <w:rFonts w:ascii="Times New Roman" w:hAnsi="Times New Roman" w:cs="Times New Roman"/>
          <w:lang w:val="uk-UA"/>
        </w:rPr>
        <w:t>) вносяться зміни шляхом її викладення в такій редакції:</w:t>
      </w:r>
    </w:p>
    <w:p w:rsidR="00635BA5" w:rsidRPr="00635BA5" w:rsidRDefault="00635BA5" w:rsidP="00635BA5">
      <w:pPr>
        <w:pStyle w:val="a2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 xml:space="preserve">"З урахуванням власних правил щодо розкриття інформації (зокрема Політики МФК про Доступ до Інформації),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та МФК кожен обмінюватимуться один з одним інформацією та документами, пов'язаними з моніторингом та верифікацією Проекту та відповідних Прийнятних Заходів, включно з результатами таких моніторингу та верифікації і звітами про їх здійснення, </w:t>
      </w:r>
      <w:r w:rsidRPr="00635BA5">
        <w:rPr>
          <w:rFonts w:ascii="Times New Roman" w:hAnsi="Times New Roman" w:cs="Times New Roman"/>
          <w:b/>
          <w:bCs/>
          <w:lang w:val="uk-UA"/>
        </w:rPr>
        <w:t>однак за умови, що</w:t>
      </w:r>
      <w:r w:rsidRPr="00635BA5">
        <w:rPr>
          <w:rFonts w:ascii="Times New Roman" w:hAnsi="Times New Roman" w:cs="Times New Roman"/>
          <w:lang w:val="uk-UA"/>
        </w:rPr>
        <w:t>, з урахуванням Статті 19.7 (</w:t>
      </w:r>
      <w:r w:rsidRPr="00635BA5">
        <w:rPr>
          <w:rFonts w:ascii="Times New Roman" w:hAnsi="Times New Roman" w:cs="Times New Roman"/>
          <w:i/>
          <w:iCs/>
          <w:lang w:val="uk-UA"/>
        </w:rPr>
        <w:t>Конфіденційність</w:t>
      </w:r>
      <w:r w:rsidRPr="00635BA5">
        <w:rPr>
          <w:rFonts w:ascii="Times New Roman" w:hAnsi="Times New Roman" w:cs="Times New Roman"/>
          <w:lang w:val="uk-UA"/>
        </w:rPr>
        <w:t xml:space="preserve">), ні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>, ні МФК не буде публічно розкривати будь-яку інформацію, конфіденційно отриману ним/нею один від одного або від іншої Сторони відповідно до цього Договору, без попередньої письмової згоди Сторони, яка надала таку інформацію."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Стаття 7 (</w:t>
      </w:r>
      <w:r w:rsidRPr="00635BA5">
        <w:rPr>
          <w:rFonts w:ascii="Times New Roman" w:hAnsi="Times New Roman" w:cs="Times New Roman"/>
          <w:i/>
          <w:iCs/>
          <w:lang w:val="uk-UA"/>
        </w:rPr>
        <w:t>Моніторинг та верифікація МФК</w:t>
      </w:r>
      <w:r w:rsidRPr="00635BA5">
        <w:rPr>
          <w:rFonts w:ascii="Times New Roman" w:hAnsi="Times New Roman" w:cs="Times New Roman"/>
          <w:lang w:val="uk-UA"/>
        </w:rPr>
        <w:t>) доповнюється новою Статтею 7.4 (</w:t>
      </w:r>
      <w:r w:rsidRPr="00635BA5">
        <w:rPr>
          <w:rFonts w:ascii="Times New Roman" w:hAnsi="Times New Roman" w:cs="Times New Roman"/>
          <w:i/>
          <w:iCs/>
          <w:lang w:val="uk-UA"/>
        </w:rPr>
        <w:t>Радник МФК з питань відповідності/Омбудсмен</w:t>
      </w:r>
      <w:r w:rsidRPr="00635BA5">
        <w:rPr>
          <w:rFonts w:ascii="Times New Roman" w:hAnsi="Times New Roman" w:cs="Times New Roman"/>
          <w:lang w:val="uk-UA"/>
        </w:rPr>
        <w:t>) наступного змісту: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"(a)</w:t>
      </w:r>
      <w:r w:rsidRPr="00635BA5">
        <w:rPr>
          <w:rFonts w:ascii="Times New Roman" w:hAnsi="Times New Roman" w:cs="Times New Roman"/>
          <w:lang w:val="uk-UA"/>
        </w:rPr>
        <w:tab/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, Міська Рада та Виконавчий Комітет визнають, що Радник МФК з питань відповідності/Омбудсмен (англійською: </w:t>
      </w:r>
      <w:r w:rsidRPr="00635BA5">
        <w:rPr>
          <w:rFonts w:ascii="Times New Roman" w:hAnsi="Times New Roman" w:cs="Times New Roman"/>
          <w:i/>
          <w:iCs/>
          <w:lang w:val="uk-UA"/>
        </w:rPr>
        <w:t xml:space="preserve">IFC </w:t>
      </w:r>
      <w:proofErr w:type="spellStart"/>
      <w:r w:rsidRPr="00635BA5">
        <w:rPr>
          <w:rFonts w:ascii="Times New Roman" w:hAnsi="Times New Roman" w:cs="Times New Roman"/>
          <w:i/>
          <w:iCs/>
          <w:lang w:val="uk-UA"/>
        </w:rPr>
        <w:t>Compliance</w:t>
      </w:r>
      <w:proofErr w:type="spellEnd"/>
      <w:r w:rsidRPr="00635BA5">
        <w:rPr>
          <w:rFonts w:ascii="Times New Roman" w:hAnsi="Times New Roman" w:cs="Times New Roman"/>
          <w:i/>
          <w:iCs/>
          <w:lang w:val="uk-UA"/>
        </w:rPr>
        <w:t xml:space="preserve"> </w:t>
      </w:r>
      <w:proofErr w:type="spellStart"/>
      <w:r w:rsidRPr="00635BA5">
        <w:rPr>
          <w:rFonts w:ascii="Times New Roman" w:hAnsi="Times New Roman" w:cs="Times New Roman"/>
          <w:i/>
          <w:iCs/>
          <w:lang w:val="uk-UA"/>
        </w:rPr>
        <w:t>Advisor</w:t>
      </w:r>
      <w:proofErr w:type="spellEnd"/>
      <w:r w:rsidRPr="00635BA5">
        <w:rPr>
          <w:rFonts w:ascii="Times New Roman" w:hAnsi="Times New Roman" w:cs="Times New Roman"/>
          <w:i/>
          <w:iCs/>
          <w:lang w:val="uk-UA"/>
        </w:rPr>
        <w:t>/</w:t>
      </w:r>
      <w:proofErr w:type="spellStart"/>
      <w:r w:rsidRPr="00635BA5">
        <w:rPr>
          <w:rFonts w:ascii="Times New Roman" w:hAnsi="Times New Roman" w:cs="Times New Roman"/>
          <w:i/>
          <w:iCs/>
          <w:lang w:val="uk-UA"/>
        </w:rPr>
        <w:t>Ombudsman</w:t>
      </w:r>
      <w:proofErr w:type="spellEnd"/>
      <w:r w:rsidRPr="00635BA5">
        <w:rPr>
          <w:rFonts w:ascii="Times New Roman" w:hAnsi="Times New Roman" w:cs="Times New Roman"/>
          <w:lang w:val="uk-UA"/>
        </w:rPr>
        <w:t>) (надалі – "</w:t>
      </w:r>
      <w:r w:rsidRPr="00635BA5">
        <w:rPr>
          <w:rFonts w:ascii="Times New Roman" w:hAnsi="Times New Roman" w:cs="Times New Roman"/>
          <w:b/>
          <w:bCs/>
          <w:lang w:val="uk-UA"/>
        </w:rPr>
        <w:t>CAO</w:t>
      </w:r>
      <w:r w:rsidRPr="00635BA5">
        <w:rPr>
          <w:rFonts w:ascii="Times New Roman" w:hAnsi="Times New Roman" w:cs="Times New Roman"/>
          <w:lang w:val="uk-UA"/>
        </w:rPr>
        <w:t xml:space="preserve">") є незалежним органом підзвітності МФК з екологічних і соціальних питань.  Додаткову інформацію про CAO можна знайти за посиланням </w:t>
      </w:r>
      <w:hyperlink r:id="rId8" w:history="1">
        <w:r w:rsidRPr="00635BA5">
          <w:rPr>
            <w:rStyle w:val="a7"/>
            <w:rFonts w:ascii="Times New Roman" w:hAnsi="Times New Roman" w:cs="Times New Roman"/>
            <w:lang w:val="uk-UA"/>
          </w:rPr>
          <w:t>http://www.cao-ombudsman.org/</w:t>
        </w:r>
      </w:hyperlink>
      <w:r w:rsidRPr="00635BA5">
        <w:rPr>
          <w:rFonts w:ascii="Times New Roman" w:hAnsi="Times New Roman" w:cs="Times New Roman"/>
          <w:lang w:val="uk-UA"/>
        </w:rPr>
        <w:t>.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(b)</w:t>
      </w:r>
      <w:r w:rsidRPr="00635BA5">
        <w:rPr>
          <w:rFonts w:ascii="Times New Roman" w:hAnsi="Times New Roman" w:cs="Times New Roman"/>
          <w:lang w:val="uk-UA"/>
        </w:rPr>
        <w:tab/>
        <w:t xml:space="preserve">Якщо CAO отримує скаргу щодо негативного екологічного та/або соціального впливу, пов'язаного з Грантом,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, Міська Рада та Виконавчий Комітет (залежно від обставин) погоджується, на запит МФК, надати представникам CAO можливість протягом звичайного робочого часу та відповідно до норм чинного законодавства та правил: </w:t>
      </w:r>
    </w:p>
    <w:p w:rsidR="00635BA5" w:rsidRPr="00635BA5" w:rsidRDefault="00635BA5" w:rsidP="00635BA5">
      <w:pPr>
        <w:pStyle w:val="a2"/>
        <w:ind w:left="2160" w:hanging="7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(i)</w:t>
      </w:r>
      <w:r w:rsidRPr="00635BA5">
        <w:rPr>
          <w:rFonts w:ascii="Times New Roman" w:hAnsi="Times New Roman" w:cs="Times New Roman"/>
          <w:lang w:val="uk-UA"/>
        </w:rPr>
        <w:tab/>
        <w:t>ознайомлюватися із їх документами та/або записами, що стосуються Гранту; та</w:t>
      </w:r>
    </w:p>
    <w:p w:rsidR="00635BA5" w:rsidRPr="00635BA5" w:rsidRDefault="00635BA5" w:rsidP="00635BA5">
      <w:pPr>
        <w:pStyle w:val="a2"/>
        <w:ind w:left="2160" w:hanging="7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(ii)</w:t>
      </w:r>
      <w:r w:rsidRPr="00635BA5">
        <w:rPr>
          <w:rFonts w:ascii="Times New Roman" w:hAnsi="Times New Roman" w:cs="Times New Roman"/>
          <w:lang w:val="uk-UA"/>
        </w:rPr>
        <w:tab/>
        <w:t xml:space="preserve">відвідувати та оглядати місця та приміщення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Грантоотримувача</w:t>
      </w:r>
      <w:proofErr w:type="spellEnd"/>
      <w:r w:rsidRPr="00635BA5">
        <w:rPr>
          <w:rFonts w:ascii="Times New Roman" w:hAnsi="Times New Roman" w:cs="Times New Roman"/>
          <w:lang w:val="uk-UA"/>
        </w:rPr>
        <w:t>, Міської Ради та Виконавчого Комітету (залежно від обставин), де здійснюється або здійснювалася діяльність, пов'язана з Грантом,</w:t>
      </w:r>
    </w:p>
    <w:p w:rsidR="00635BA5" w:rsidRPr="00635BA5" w:rsidRDefault="00635BA5" w:rsidP="00635BA5">
      <w:pPr>
        <w:pStyle w:val="a2"/>
        <w:ind w:left="144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в кожному випадку, виключно з метою виконання функцій CAO згідно з Політикою незалежного органу підзвітності (CAO) МФК/БАГІ від 28 червня 2021 року (з поправками, змінами, доповненнями, замінами або викладенням в новій редакції) (надалі – "</w:t>
      </w:r>
      <w:r w:rsidRPr="00635BA5">
        <w:rPr>
          <w:rFonts w:ascii="Times New Roman" w:hAnsi="Times New Roman" w:cs="Times New Roman"/>
          <w:b/>
          <w:bCs/>
          <w:lang w:val="uk-UA"/>
        </w:rPr>
        <w:t>Політика CAO</w:t>
      </w:r>
      <w:r w:rsidRPr="00635BA5">
        <w:rPr>
          <w:rFonts w:ascii="Times New Roman" w:hAnsi="Times New Roman" w:cs="Times New Roman"/>
          <w:lang w:val="uk-UA"/>
        </w:rPr>
        <w:t xml:space="preserve">"), з якою можна ознайомитися за посиланням </w:t>
      </w:r>
      <w:hyperlink r:id="rId9" w:history="1">
        <w:r w:rsidRPr="00635BA5">
          <w:rPr>
            <w:rStyle w:val="a7"/>
            <w:rFonts w:ascii="Times New Roman" w:hAnsi="Times New Roman" w:cs="Times New Roman"/>
            <w:lang w:val="uk-UA"/>
          </w:rPr>
          <w:t>https://documents.worldbank.org/en/publication/documents-</w:t>
        </w:r>
        <w:r w:rsidRPr="00635BA5">
          <w:rPr>
            <w:rStyle w:val="a7"/>
            <w:rFonts w:ascii="Times New Roman" w:hAnsi="Times New Roman" w:cs="Times New Roman"/>
            <w:lang w:val="uk-UA"/>
          </w:rPr>
          <w:lastRenderedPageBreak/>
          <w:t>reports/documentdetail/889191625065397617/ifc-miga-independent-accountability-mechanism-cao-policy</w:t>
        </w:r>
      </w:hyperlink>
      <w:r w:rsidRPr="00635BA5">
        <w:rPr>
          <w:rFonts w:ascii="Times New Roman" w:hAnsi="Times New Roman" w:cs="Times New Roman"/>
          <w:lang w:val="uk-UA"/>
        </w:rPr>
        <w:t>.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(c)</w:t>
      </w:r>
      <w:r w:rsidRPr="00635BA5">
        <w:rPr>
          <w:rFonts w:ascii="Times New Roman" w:hAnsi="Times New Roman" w:cs="Times New Roman"/>
          <w:lang w:val="uk-UA"/>
        </w:rPr>
        <w:tab/>
        <w:t>При виконанні своїх завдань CAO також керується Політикою МФК про Доступ до Інформації.  Відповідно, CAO має право розкривати інформацію, зібрану під час здійснення своєї діяльності, з урахуванням положень і вимог Політики МФК про Доступ до Інформації та Політики CAO.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Пункт (b) Статті 19.7 (</w:t>
      </w:r>
      <w:r w:rsidRPr="00635BA5">
        <w:rPr>
          <w:rFonts w:ascii="Times New Roman" w:hAnsi="Times New Roman" w:cs="Times New Roman"/>
          <w:i/>
          <w:iCs/>
          <w:lang w:val="uk-UA"/>
        </w:rPr>
        <w:t>Конфіденційність</w:t>
      </w:r>
      <w:r w:rsidRPr="00635BA5">
        <w:rPr>
          <w:rFonts w:ascii="Times New Roman" w:hAnsi="Times New Roman" w:cs="Times New Roman"/>
          <w:lang w:val="uk-UA"/>
        </w:rPr>
        <w:t>) замінюється двома новими пунктами (b) та (c) наступного змісту: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"(b)</w:t>
      </w:r>
      <w:r w:rsidRPr="00635BA5">
        <w:rPr>
          <w:rFonts w:ascii="Times New Roman" w:hAnsi="Times New Roman" w:cs="Times New Roman"/>
          <w:lang w:val="uk-UA"/>
        </w:rPr>
        <w:tab/>
        <w:t xml:space="preserve">МФК може розкривати умови цього Договору та пов'язану інформацію про Грант відповідно до Політики МФК про Доступ до Інформації.  Укладаючи цей Договір,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>, Міська Рада та Виконавчий Комітет кожен погоджується на таке розкриття Договору та пов'язаної інформації.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(c)</w:t>
      </w:r>
      <w:r w:rsidRPr="00635BA5">
        <w:rPr>
          <w:rFonts w:ascii="Times New Roman" w:hAnsi="Times New Roman" w:cs="Times New Roman"/>
          <w:lang w:val="uk-UA"/>
        </w:rPr>
        <w:tab/>
        <w:t>Без обмежень викладеного вище, МФК може розкрити умови цього Договору рейтинговим агенціям, своїм афілійованим особам у Групі Світового Банку, яким МФК на власний розсуд вважає за доречне розкрити умови цього Договору, а також будь-якому члену Групи Світового Банку, уповноваженим органам ЄС, Донорам та будь-яким їх представникам."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Додатку 2 (</w:t>
      </w:r>
      <w:r w:rsidRPr="00635BA5">
        <w:rPr>
          <w:rFonts w:ascii="Times New Roman" w:hAnsi="Times New Roman" w:cs="Times New Roman"/>
          <w:i/>
          <w:iCs/>
          <w:lang w:val="uk-UA"/>
        </w:rPr>
        <w:t>Прийнятні Будівлі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новій редакції, наведеній в Додатку A до цього Листа про Внесення Змін.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Додатку 3 (</w:t>
      </w:r>
      <w:r w:rsidRPr="00635BA5">
        <w:rPr>
          <w:rFonts w:ascii="Times New Roman" w:hAnsi="Times New Roman" w:cs="Times New Roman"/>
          <w:i/>
          <w:iCs/>
          <w:lang w:val="uk-UA"/>
        </w:rPr>
        <w:t>Прийнятні Заходи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новій редакції, наведеній в Додатку B до цього Листа про Внесення Змін.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підпункту (</w:t>
      </w:r>
      <w:r w:rsidRPr="00635BA5">
        <w:rPr>
          <w:rFonts w:ascii="Times New Roman" w:hAnsi="Times New Roman" w:cs="Times New Roman"/>
          <w:lang w:val="en-US"/>
        </w:rPr>
        <w:t>a</w:t>
      </w:r>
      <w:r w:rsidRPr="00635BA5">
        <w:rPr>
          <w:rFonts w:ascii="Times New Roman" w:hAnsi="Times New Roman" w:cs="Times New Roman"/>
          <w:lang w:val="ru-RU"/>
        </w:rPr>
        <w:t xml:space="preserve">) </w:t>
      </w:r>
      <w:r w:rsidRPr="00635BA5">
        <w:rPr>
          <w:rFonts w:ascii="Times New Roman" w:hAnsi="Times New Roman" w:cs="Times New Roman"/>
          <w:lang w:val="uk-UA"/>
        </w:rPr>
        <w:t>Пункту 1 Додатку 4 (</w:t>
      </w:r>
      <w:r w:rsidRPr="00635BA5">
        <w:rPr>
          <w:rFonts w:ascii="Times New Roman" w:hAnsi="Times New Roman" w:cs="Times New Roman"/>
          <w:i/>
          <w:iCs/>
          <w:lang w:val="uk-UA"/>
        </w:rPr>
        <w:t>Умови Виплати Гранту</w:t>
      </w:r>
      <w:r w:rsidRPr="00635BA5">
        <w:rPr>
          <w:rFonts w:ascii="Times New Roman" w:hAnsi="Times New Roman" w:cs="Times New Roman"/>
          <w:lang w:val="uk-UA"/>
        </w:rPr>
        <w:t>) вносяться зміни шляхом його викладення в такій редакції: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"(a)</w:t>
      </w:r>
      <w:r w:rsidRPr="00635BA5">
        <w:rPr>
          <w:rFonts w:ascii="Times New Roman" w:hAnsi="Times New Roman" w:cs="Times New Roman"/>
          <w:lang w:val="uk-UA"/>
        </w:rPr>
        <w:tab/>
        <w:t xml:space="preserve">МФК отримала від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Грантоотримувача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належно заповнену Заявку на Виплату Гранту протягом відповідного терміну, зазначеного в пункті (</w:t>
      </w:r>
      <w:r w:rsidRPr="00635BA5">
        <w:rPr>
          <w:rFonts w:ascii="Times New Roman" w:hAnsi="Times New Roman" w:cs="Times New Roman"/>
        </w:rPr>
        <w:t>c</w:t>
      </w:r>
      <w:r w:rsidRPr="00635BA5">
        <w:rPr>
          <w:rFonts w:ascii="Times New Roman" w:hAnsi="Times New Roman" w:cs="Times New Roman"/>
          <w:lang w:val="uk-UA"/>
        </w:rPr>
        <w:t>) Статті 5.1 (</w:t>
      </w:r>
      <w:r w:rsidRPr="00635BA5">
        <w:rPr>
          <w:rFonts w:ascii="Times New Roman" w:hAnsi="Times New Roman" w:cs="Times New Roman"/>
          <w:i/>
          <w:iCs/>
          <w:lang w:val="uk-UA"/>
        </w:rPr>
        <w:t>Порядок виплати</w:t>
      </w:r>
      <w:r w:rsidRPr="00635BA5">
        <w:rPr>
          <w:rFonts w:ascii="Times New Roman" w:hAnsi="Times New Roman" w:cs="Times New Roman"/>
          <w:lang w:val="uk-UA"/>
        </w:rPr>
        <w:t>)."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Пункт 2 Додатку 4 (</w:t>
      </w:r>
      <w:r w:rsidRPr="00635BA5">
        <w:rPr>
          <w:rFonts w:ascii="Times New Roman" w:hAnsi="Times New Roman" w:cs="Times New Roman"/>
          <w:i/>
          <w:iCs/>
          <w:lang w:val="uk-UA"/>
        </w:rPr>
        <w:t>Умови Виплати Гранту</w:t>
      </w:r>
      <w:r w:rsidRPr="00635BA5">
        <w:rPr>
          <w:rFonts w:ascii="Times New Roman" w:hAnsi="Times New Roman" w:cs="Times New Roman"/>
          <w:lang w:val="uk-UA"/>
        </w:rPr>
        <w:t>) доповнюється двома новими підпунктами (e) та (f) наступного змісту: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bookmarkStart w:id="4" w:name="_9kMKJ5YVt7DB79H"/>
      <w:r w:rsidRPr="00635BA5">
        <w:rPr>
          <w:rFonts w:ascii="Times New Roman" w:hAnsi="Times New Roman" w:cs="Times New Roman"/>
          <w:lang w:val="uk-UA"/>
        </w:rPr>
        <w:t>"</w:t>
      </w:r>
      <w:bookmarkStart w:id="5" w:name="_9kMLK5YVt7DB79H"/>
      <w:bookmarkEnd w:id="4"/>
      <w:r w:rsidRPr="00635BA5">
        <w:rPr>
          <w:rFonts w:ascii="Times New Roman" w:hAnsi="Times New Roman" w:cs="Times New Roman"/>
          <w:lang w:val="uk-UA"/>
        </w:rPr>
        <w:t>(e)</w:t>
      </w:r>
      <w:r w:rsidRPr="00635BA5">
        <w:rPr>
          <w:rFonts w:ascii="Times New Roman" w:hAnsi="Times New Roman" w:cs="Times New Roman"/>
          <w:lang w:val="uk-UA"/>
        </w:rPr>
        <w:tab/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надав МФК письмове підтвердження, що будівельна документація та/або Проектна Документація, або дефектний акт і відповідна кошторисна документація (якщо Проект реалізується на підставі дефектного акту без Проектної Документації, за умови, що це дозволено чинним законодавством України) передбачає(-</w:t>
      </w:r>
      <w:proofErr w:type="spellStart"/>
      <w:r w:rsidRPr="00635BA5">
        <w:rPr>
          <w:rFonts w:ascii="Times New Roman" w:hAnsi="Times New Roman" w:cs="Times New Roman"/>
          <w:lang w:val="uk-UA"/>
        </w:rPr>
        <w:t>ють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) впровадження заходів пожежної безпеки, </w:t>
      </w:r>
      <w:proofErr w:type="spellStart"/>
      <w:r w:rsidRPr="00635BA5">
        <w:rPr>
          <w:rFonts w:ascii="Times New Roman" w:hAnsi="Times New Roman" w:cs="Times New Roman"/>
          <w:lang w:val="uk-UA"/>
        </w:rPr>
        <w:t>інклюзивності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та можливості доступу до споруд (приміщень) цивільного захисту в Прийнятній Будівлі, а в разі неможливості забезпечення доступу до споруд (приміщень) цивільного захисту в Прийнятній Будівлі – забезпечення такого доступу в іншій будівлі відповідно до вимог законодавства України та у задовільний для МФК спосіб.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(f)</w:t>
      </w:r>
      <w:r w:rsidRPr="00635BA5">
        <w:rPr>
          <w:rFonts w:ascii="Times New Roman" w:hAnsi="Times New Roman" w:cs="Times New Roman"/>
          <w:lang w:val="uk-UA"/>
        </w:rPr>
        <w:tab/>
        <w:t xml:space="preserve">У разі зміни цільового призначення Прийнятної Будівлі з нежитлової на житлову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надав МФК належним чином затверджені містобудівні умови та обмеження (якщо застосовується), а також необхідну будівельну документацію, яка передбачає реконструкцію Прийнятної Будівлі в житлову."</w:t>
      </w:r>
      <w:bookmarkEnd w:id="5"/>
      <w:r w:rsidRPr="00635BA5">
        <w:rPr>
          <w:rFonts w:ascii="Times New Roman" w:hAnsi="Times New Roman" w:cs="Times New Roman"/>
          <w:lang w:val="uk-UA"/>
        </w:rPr>
        <w:t>,</w:t>
      </w:r>
    </w:p>
    <w:p w:rsidR="00635BA5" w:rsidRPr="00635BA5" w:rsidRDefault="00635BA5" w:rsidP="00635BA5">
      <w:pPr>
        <w:pStyle w:val="a2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і, відповідно, існуючий підпункт (e) стає підпунктом (g).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До першого абзацу підпункту (</w:t>
      </w:r>
      <w:r w:rsidRPr="00635BA5">
        <w:rPr>
          <w:rFonts w:ascii="Times New Roman" w:hAnsi="Times New Roman" w:cs="Times New Roman"/>
          <w:lang w:val="en-US"/>
        </w:rPr>
        <w:t>g</w:t>
      </w:r>
      <w:r w:rsidRPr="00635BA5">
        <w:rPr>
          <w:rFonts w:ascii="Times New Roman" w:hAnsi="Times New Roman" w:cs="Times New Roman"/>
          <w:lang w:val="uk-UA"/>
        </w:rPr>
        <w:t>) Пункту 2 Додатку 4 (</w:t>
      </w:r>
      <w:r w:rsidRPr="00635BA5">
        <w:rPr>
          <w:rFonts w:ascii="Times New Roman" w:hAnsi="Times New Roman" w:cs="Times New Roman"/>
          <w:i/>
          <w:iCs/>
          <w:lang w:val="uk-UA"/>
        </w:rPr>
        <w:t>Умови Виплати Гранту</w:t>
      </w:r>
      <w:r w:rsidRPr="00635BA5">
        <w:rPr>
          <w:rFonts w:ascii="Times New Roman" w:hAnsi="Times New Roman" w:cs="Times New Roman"/>
          <w:lang w:val="uk-UA"/>
        </w:rPr>
        <w:t>), з урахуванням зазначеної вище зміни нумерації, вносяться зміни шляхом його викладення в такій редакції: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"(g)</w:t>
      </w:r>
      <w:r w:rsidRPr="00635BA5">
        <w:rPr>
          <w:rFonts w:ascii="Times New Roman" w:hAnsi="Times New Roman" w:cs="Times New Roman"/>
          <w:lang w:val="uk-UA"/>
        </w:rPr>
        <w:tab/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 xml:space="preserve"> надав МФК наступні документи, задовільні для МФК за формою та за змістом, не пізніше Кінцевого Терміну Подачі Заявки на Перший Транш:"</w:t>
      </w:r>
    </w:p>
    <w:p w:rsidR="00635BA5" w:rsidRPr="00635BA5" w:rsidRDefault="00635BA5" w:rsidP="00635BA5">
      <w:pPr>
        <w:pStyle w:val="3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lastRenderedPageBreak/>
        <w:t>Підпункт (</w:t>
      </w:r>
      <w:r w:rsidRPr="00635BA5">
        <w:rPr>
          <w:rFonts w:ascii="Times New Roman" w:hAnsi="Times New Roman" w:cs="Times New Roman"/>
          <w:lang w:val="en-US"/>
        </w:rPr>
        <w:t>g</w:t>
      </w:r>
      <w:r w:rsidRPr="00635BA5">
        <w:rPr>
          <w:rFonts w:ascii="Times New Roman" w:hAnsi="Times New Roman" w:cs="Times New Roman"/>
          <w:lang w:val="uk-UA"/>
        </w:rPr>
        <w:t>) Пункту 2 Додатку 4 (</w:t>
      </w:r>
      <w:r w:rsidRPr="00635BA5">
        <w:rPr>
          <w:rFonts w:ascii="Times New Roman" w:hAnsi="Times New Roman" w:cs="Times New Roman"/>
          <w:i/>
          <w:iCs/>
          <w:lang w:val="uk-UA"/>
        </w:rPr>
        <w:t>Умови Виплати Гранту</w:t>
      </w:r>
      <w:r w:rsidRPr="00635BA5">
        <w:rPr>
          <w:rFonts w:ascii="Times New Roman" w:hAnsi="Times New Roman" w:cs="Times New Roman"/>
          <w:lang w:val="uk-UA"/>
        </w:rPr>
        <w:t>), з урахуванням зазначеної вище зміни нумерації, доповнюється новим абзацом (</w:t>
      </w:r>
      <w:r w:rsidRPr="00635BA5">
        <w:rPr>
          <w:rFonts w:ascii="Times New Roman" w:hAnsi="Times New Roman" w:cs="Times New Roman"/>
          <w:lang w:val="en-US"/>
        </w:rPr>
        <w:t>vii</w:t>
      </w:r>
      <w:r w:rsidRPr="00635BA5">
        <w:rPr>
          <w:rFonts w:ascii="Times New Roman" w:hAnsi="Times New Roman" w:cs="Times New Roman"/>
          <w:lang w:val="uk-UA"/>
        </w:rPr>
        <w:t>) наступного змісту:</w:t>
      </w:r>
    </w:p>
    <w:p w:rsidR="00635BA5" w:rsidRPr="00635BA5" w:rsidRDefault="00635BA5" w:rsidP="00635BA5">
      <w:pPr>
        <w:pStyle w:val="a2"/>
        <w:ind w:left="1440" w:hanging="73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"(</w:t>
      </w:r>
      <w:r w:rsidRPr="00635BA5">
        <w:rPr>
          <w:rFonts w:ascii="Times New Roman" w:hAnsi="Times New Roman" w:cs="Times New Roman"/>
        </w:rPr>
        <w:t>vii</w:t>
      </w:r>
      <w:r w:rsidRPr="00635BA5">
        <w:rPr>
          <w:rFonts w:ascii="Times New Roman" w:hAnsi="Times New Roman" w:cs="Times New Roman"/>
          <w:lang w:val="uk-UA"/>
        </w:rPr>
        <w:t>)</w:t>
      </w:r>
      <w:r w:rsidRPr="00635BA5">
        <w:rPr>
          <w:rFonts w:ascii="Times New Roman" w:hAnsi="Times New Roman" w:cs="Times New Roman"/>
          <w:lang w:val="uk-UA"/>
        </w:rPr>
        <w:tab/>
        <w:t>дозвіл на виконання будівельних робіт (якщо вимагається згідно з чинним законодавством України)"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За винятком передбаченого в цьому Листі про Внесення Змін, всі інші умови та положення Договору зберігають дійсність у повному обсязі.  Жодне положення цього Листа про Внесення Змін не повинне тлумачитися як таке, що прямо або опосередковано змінює або має будь-які наслідки для дійсності положень Договору, крім положень, до яких прямо вносяться зміни на підставі цього Листа про Внесення Змін, а також жодне положення цього листа не повинне тлумачитися як таке, що передбачає заміну сторони Договору.  Кожне посилання на "Договір", "цей Договір", а також непрямі посилання, як-от "тут", "ним", "його", "в ньому", та слова аналогічного значення в Договорі зі змінами, внесеними цим Листом про Внесення Змін, вважаються посиланнями на Договір зі змінами, внесеними цим Листом про Внесення Змін, а також можливими змінами, доповненнями, що час від часу можуть до нього вноситися та набирати чинність в майбутньому.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 xml:space="preserve">Заяви та гарантії, надані </w:t>
      </w:r>
      <w:proofErr w:type="spellStart"/>
      <w:r w:rsidRPr="00635BA5">
        <w:rPr>
          <w:lang w:val="uk-UA"/>
        </w:rPr>
        <w:t>Грантоотримувачем</w:t>
      </w:r>
      <w:proofErr w:type="spellEnd"/>
      <w:r w:rsidRPr="00635BA5">
        <w:rPr>
          <w:lang w:val="uk-UA"/>
        </w:rPr>
        <w:t>, Міською Радою та Виконавчим Комітетом у Статті 13 (</w:t>
      </w:r>
      <w:r w:rsidRPr="00635BA5">
        <w:rPr>
          <w:i/>
          <w:iCs/>
          <w:lang w:val="uk-UA"/>
        </w:rPr>
        <w:t>Заяви та гарантії</w:t>
      </w:r>
      <w:r w:rsidRPr="00635BA5">
        <w:rPr>
          <w:lang w:val="uk-UA"/>
        </w:rPr>
        <w:t>) Договору, вважаються повтореними станом на Дату Набрання Чинності Листом про Внесення Змін та з посиланням на цей Лист про Внесення Змін.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Цей Лист про Внесення Змін набирає чинність у Дату Набрання Чинності Листом про Внесення Змін.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До цього Листа про Внесення Змін та будь-яких позадоговірних зобов'язань, що виникають з нього або у зв'язку з ним, та їх тлумачення застосовується право Англії та Уельсу.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Положення Статей 18 (</w:t>
      </w:r>
      <w:r w:rsidRPr="00635BA5">
        <w:rPr>
          <w:i/>
          <w:lang w:val="uk-UA"/>
        </w:rPr>
        <w:t>Право, що застосовується, та вирішення спорів</w:t>
      </w:r>
      <w:r w:rsidRPr="00635BA5">
        <w:rPr>
          <w:lang w:val="uk-UA"/>
        </w:rPr>
        <w:t xml:space="preserve">), </w:t>
      </w:r>
      <w:bookmarkStart w:id="6" w:name="_9kMHG5YVtCIA6CHEKN"/>
      <w:r w:rsidRPr="00635BA5">
        <w:rPr>
          <w:lang w:val="uk-UA"/>
        </w:rPr>
        <w:t>19.3</w:t>
      </w:r>
      <w:bookmarkEnd w:id="6"/>
      <w:r w:rsidRPr="00635BA5">
        <w:rPr>
          <w:lang w:val="uk-UA"/>
        </w:rPr>
        <w:t xml:space="preserve"> (</w:t>
      </w:r>
      <w:r w:rsidRPr="00635BA5">
        <w:rPr>
          <w:i/>
          <w:lang w:val="uk-UA"/>
        </w:rPr>
        <w:t>Права третіх осіб</w:t>
      </w:r>
      <w:r w:rsidRPr="00635BA5">
        <w:rPr>
          <w:lang w:val="uk-UA"/>
        </w:rPr>
        <w:t xml:space="preserve">), </w:t>
      </w:r>
      <w:bookmarkStart w:id="7" w:name="_9kMHG5YVtCIA6CIFKT"/>
      <w:r w:rsidRPr="00635BA5">
        <w:rPr>
          <w:lang w:val="uk-UA"/>
        </w:rPr>
        <w:t>19.9</w:t>
      </w:r>
      <w:bookmarkEnd w:id="7"/>
      <w:r w:rsidRPr="00635BA5">
        <w:rPr>
          <w:lang w:val="uk-UA"/>
        </w:rPr>
        <w:t xml:space="preserve"> (</w:t>
      </w:r>
      <w:r w:rsidRPr="00635BA5">
        <w:rPr>
          <w:i/>
          <w:lang w:val="uk-UA"/>
        </w:rPr>
        <w:t>Мова</w:t>
      </w:r>
      <w:r w:rsidRPr="00635BA5">
        <w:rPr>
          <w:lang w:val="uk-UA"/>
        </w:rPr>
        <w:t xml:space="preserve">) та </w:t>
      </w:r>
      <w:bookmarkStart w:id="8" w:name="_9kMHG5YVtCIA6CJGKLD"/>
      <w:r w:rsidRPr="00635BA5">
        <w:rPr>
          <w:lang w:val="uk-UA"/>
        </w:rPr>
        <w:t>19.10</w:t>
      </w:r>
      <w:bookmarkEnd w:id="8"/>
      <w:r w:rsidRPr="00635BA5">
        <w:rPr>
          <w:lang w:val="uk-UA"/>
        </w:rPr>
        <w:t xml:space="preserve"> (</w:t>
      </w:r>
      <w:r w:rsidRPr="00635BA5">
        <w:rPr>
          <w:i/>
          <w:lang w:val="uk-UA"/>
        </w:rPr>
        <w:t>Примірники</w:t>
      </w:r>
      <w:r w:rsidRPr="00635BA5">
        <w:rPr>
          <w:lang w:val="uk-UA"/>
        </w:rPr>
        <w:t>) Договору вважаються включеними до цього Листа про Внесення Змін, з необхідними змінами, так якби вони були викладені в ньому в повному обсязі та, без шкоди зазначеному вище, так якби посилання в цих статтях на "цей Договір" були посиланнями на цей Лист про Внесення Змін.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Цей Лист про Внесення Змін може бути підписаний та вручений на різних примірниках (в тому числі шляхом передачі факсимільним зв'язком або в електронній формі), кожний з яких є ідентичним, а всі вони разом становлять один і той самий інструмент, при цьому будь-яка зі сторін цього Листа про Внесення Змін може підписати цей Лист про Внесення Змін шляхом підписання будь-якого такого примірника.</w:t>
      </w:r>
    </w:p>
    <w:p w:rsidR="00635BA5" w:rsidRPr="00635BA5" w:rsidRDefault="00635BA5" w:rsidP="00635BA5">
      <w:pPr>
        <w:pStyle w:val="2"/>
        <w:rPr>
          <w:lang w:val="uk-UA"/>
        </w:rPr>
      </w:pPr>
      <w:r w:rsidRPr="00635BA5">
        <w:rPr>
          <w:lang w:val="uk-UA"/>
        </w:rPr>
        <w:t>Просимо вас підтвердити свою згоду з умовами та положеннями цього Листа про Внесення Змін, підписавши 4 (чотири) оригінали цього листа та повернувши МФК 1 (один) підписаний оригінал.</w:t>
      </w: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</w:p>
    <w:p w:rsid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З повагою,</w:t>
      </w:r>
    </w:p>
    <w:p w:rsidR="003F7BBE" w:rsidRPr="00635BA5" w:rsidRDefault="003F7BBE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………………………………………….</w:t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[Повне ім'я]</w:t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[Офіційна посада]</w:t>
      </w:r>
    </w:p>
    <w:p w:rsidR="00635BA5" w:rsidRPr="00635BA5" w:rsidRDefault="00635BA5" w:rsidP="002B6B5A">
      <w:pPr>
        <w:pStyle w:val="a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br w:type="page"/>
      </w:r>
      <w:proofErr w:type="spellStart"/>
      <w:r w:rsidRPr="00635BA5">
        <w:rPr>
          <w:rFonts w:ascii="Times New Roman" w:hAnsi="Times New Roman" w:cs="Times New Roman"/>
          <w:lang w:val="uk-UA"/>
        </w:rPr>
        <w:lastRenderedPageBreak/>
        <w:t>Грантоотримувач</w:t>
      </w:r>
      <w:proofErr w:type="spellEnd"/>
      <w:r w:rsidRPr="00635BA5">
        <w:rPr>
          <w:rFonts w:ascii="Times New Roman" w:hAnsi="Times New Roman" w:cs="Times New Roman"/>
          <w:lang w:val="uk-UA"/>
        </w:rPr>
        <w:t>, Міська Рада та Виконавчий Комітет з листом ознайомилися і згодні:</w:t>
      </w:r>
    </w:p>
    <w:p w:rsidR="00635BA5" w:rsidRPr="00635BA5" w:rsidRDefault="00635BA5" w:rsidP="00635BA5">
      <w:pPr>
        <w:pStyle w:val="a1"/>
        <w:keepNext/>
        <w:jc w:val="both"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t>КОМУНАЛЬНЕ ГОСПРОЗРАХУНКОВЕ ЖИТЛОВО-ЕКСПЛУАТАЦІЙНЕ ПІДПРИЄМСТВО "АВТОЗАВОДСЬКЕ" КРЕМЕНЧУЦЬКОЇ МІСЬКОЇ РАДИ КРЕМЕНЧУЦЬКОГО РАЙОНУ ПОЛТАВСЬКОЇ ОБЛАСТІ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………………………………………….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 xml:space="preserve">[Уповноважений представник </w:t>
      </w:r>
      <w:proofErr w:type="spellStart"/>
      <w:r w:rsidRPr="00635BA5">
        <w:rPr>
          <w:rFonts w:ascii="Times New Roman" w:hAnsi="Times New Roman" w:cs="Times New Roman"/>
          <w:lang w:val="uk-UA"/>
        </w:rPr>
        <w:t>Грантоотримувача</w:t>
      </w:r>
      <w:proofErr w:type="spellEnd"/>
      <w:r w:rsidRPr="00635BA5">
        <w:rPr>
          <w:rFonts w:ascii="Times New Roman" w:hAnsi="Times New Roman" w:cs="Times New Roman"/>
          <w:lang w:val="uk-UA"/>
        </w:rPr>
        <w:t>]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___ [червня] 2024 року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t>КРЕМЕНЧУЦЬКА МІСЬКА РАДА КРЕМЕНЧУЦЬКОГО РАЙОНУ ПОЛТАВСЬКОЇ ОБЛАСТІ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………………………………………….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[Уповноважений представник Міської Ради]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___ [червня] 2024 року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keepNext/>
        <w:jc w:val="both"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t>ВИКОНАВЧИЙ КОМІТЕТ КРЕМЕНЧУЦЬКОЇ МІСЬКОЇ РАДИ КРЕМЕНЧУЦЬКОГО РАЙОНУ ПОЛТАВСЬКОЇ ОБЛАСТІ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………………………………………….</w:t>
      </w:r>
    </w:p>
    <w:p w:rsidR="00635BA5" w:rsidRPr="00635BA5" w:rsidRDefault="00635BA5" w:rsidP="00635BA5">
      <w:pPr>
        <w:pStyle w:val="a1"/>
        <w:keepNext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[Уповноважений представник Виконавчого Комітету]</w:t>
      </w: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 xml:space="preserve">___ [червня] 2024 року </w:t>
      </w:r>
      <w:r w:rsidRPr="00635BA5">
        <w:rPr>
          <w:rFonts w:ascii="Times New Roman" w:hAnsi="Times New Roman" w:cs="Times New Roman"/>
          <w:lang w:val="uk-UA"/>
        </w:rPr>
        <w:br w:type="page"/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lastRenderedPageBreak/>
        <w:t>ДОДАТОК A</w:t>
      </w:r>
      <w:r w:rsidRPr="00635BA5">
        <w:rPr>
          <w:rFonts w:ascii="Times New Roman" w:hAnsi="Times New Roman" w:cs="Times New Roman"/>
          <w:b/>
          <w:lang w:val="uk-UA"/>
        </w:rPr>
        <w:br/>
        <w:t>ЗМІНЕНИЙ ТА ВИКЛАДЕНИЙ В НОВІЙ РЕДАКЦІЇ ДОДАТОК 2</w:t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jc w:val="center"/>
        <w:rPr>
          <w:rFonts w:ascii="Times New Roman" w:eastAsiaTheme="majorEastAsia" w:hAnsi="Times New Roman" w:cs="Times New Roman"/>
          <w:b/>
          <w:bCs/>
          <w:lang w:val="uk-UA"/>
        </w:rPr>
      </w:pPr>
      <w:r w:rsidRPr="00635BA5">
        <w:rPr>
          <w:rFonts w:ascii="Times New Roman" w:hAnsi="Times New Roman" w:cs="Times New Roman"/>
          <w:b/>
          <w:bCs/>
          <w:lang w:val="uk-UA"/>
        </w:rPr>
        <w:t>ПРИЙНЯТНІ БУДІВЛІ</w:t>
      </w: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92"/>
        <w:gridCol w:w="4636"/>
        <w:gridCol w:w="4634"/>
      </w:tblGrid>
      <w:tr w:rsidR="00635BA5" w:rsidRPr="00635BA5" w:rsidTr="005A5D9A">
        <w:tc>
          <w:tcPr>
            <w:tcW w:w="347" w:type="pct"/>
          </w:tcPr>
          <w:p w:rsidR="00635BA5" w:rsidRPr="00635BA5" w:rsidRDefault="00635BA5" w:rsidP="005A5D9A">
            <w:pPr>
              <w:pStyle w:val="a1"/>
              <w:rPr>
                <w:rFonts w:ascii="Times New Roman" w:hAnsi="Times New Roman" w:cs="Times New Roman"/>
                <w:b/>
                <w:bCs/>
                <w:lang w:val="uk-UA"/>
              </w:rPr>
            </w:pPr>
            <w:bookmarkStart w:id="9" w:name="_Hlk120709428"/>
            <w:r w:rsidRPr="00635BA5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327" w:type="pct"/>
          </w:tcPr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35BA5">
              <w:rPr>
                <w:rFonts w:ascii="Times New Roman" w:hAnsi="Times New Roman" w:cs="Times New Roman"/>
                <w:b/>
                <w:bCs/>
                <w:lang w:val="uk-UA"/>
              </w:rPr>
              <w:t>Адреса Будівлі Комунальної Власності</w:t>
            </w:r>
          </w:p>
        </w:tc>
        <w:tc>
          <w:tcPr>
            <w:tcW w:w="2326" w:type="pct"/>
          </w:tcPr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35BA5">
              <w:rPr>
                <w:rFonts w:ascii="Times New Roman" w:hAnsi="Times New Roman" w:cs="Times New Roman"/>
                <w:b/>
                <w:bCs/>
                <w:lang w:val="uk-UA"/>
              </w:rPr>
              <w:t>Дата, з якої Будівля Комунальної Власності вважається Прийнятною Будівлею</w:t>
            </w:r>
          </w:p>
        </w:tc>
      </w:tr>
      <w:tr w:rsidR="00635BA5" w:rsidRPr="00635BA5" w:rsidTr="005A5D9A">
        <w:tc>
          <w:tcPr>
            <w:tcW w:w="347" w:type="pct"/>
          </w:tcPr>
          <w:p w:rsidR="00635BA5" w:rsidRPr="00635BA5" w:rsidRDefault="00635BA5" w:rsidP="00635BA5">
            <w:pPr>
              <w:pStyle w:val="SchH2Unbolded"/>
              <w:numPr>
                <w:ilvl w:val="0"/>
                <w:numId w:val="5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7" w:type="pct"/>
          </w:tcPr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5BA5">
              <w:rPr>
                <w:rFonts w:ascii="Times New Roman" w:hAnsi="Times New Roman" w:cs="Times New Roman"/>
                <w:lang w:val="uk-UA"/>
              </w:rPr>
              <w:t xml:space="preserve">Україна, Полтавська область, </w:t>
            </w:r>
            <w:r w:rsidRPr="00635BA5">
              <w:rPr>
                <w:rFonts w:ascii="Times New Roman" w:hAnsi="Times New Roman" w:cs="Times New Roman"/>
                <w:lang w:val="uk-UA"/>
              </w:rPr>
              <w:br/>
              <w:t xml:space="preserve">Кременчуцький район, місто Кременчук, </w:t>
            </w:r>
            <w:r w:rsidRPr="00635BA5">
              <w:rPr>
                <w:rFonts w:ascii="Times New Roman" w:hAnsi="Times New Roman" w:cs="Times New Roman"/>
                <w:lang w:val="uk-UA"/>
              </w:rPr>
              <w:br/>
              <w:t>вул. Троїцька, 71/73</w:t>
            </w:r>
          </w:p>
        </w:tc>
        <w:tc>
          <w:tcPr>
            <w:tcW w:w="2326" w:type="pct"/>
          </w:tcPr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5BA5">
              <w:rPr>
                <w:rFonts w:ascii="Times New Roman" w:hAnsi="Times New Roman" w:cs="Times New Roman"/>
                <w:lang w:val="uk-UA"/>
              </w:rPr>
              <w:t>Дата Набрання Чинності</w:t>
            </w:r>
          </w:p>
        </w:tc>
      </w:tr>
      <w:tr w:rsidR="00635BA5" w:rsidRPr="002C718E" w:rsidTr="005A5D9A">
        <w:tc>
          <w:tcPr>
            <w:tcW w:w="347" w:type="pct"/>
          </w:tcPr>
          <w:p w:rsidR="00635BA5" w:rsidRPr="00635BA5" w:rsidRDefault="00635BA5" w:rsidP="00635BA5">
            <w:pPr>
              <w:pStyle w:val="SchH2Unbolded"/>
              <w:numPr>
                <w:ilvl w:val="0"/>
                <w:numId w:val="5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27" w:type="pct"/>
          </w:tcPr>
          <w:p w:rsidR="00635BA5" w:rsidRPr="00635BA5" w:rsidRDefault="00635BA5" w:rsidP="0091649E">
            <w:pPr>
              <w:pStyle w:val="a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5BA5">
              <w:rPr>
                <w:rFonts w:ascii="Times New Roman" w:hAnsi="Times New Roman" w:cs="Times New Roman"/>
                <w:lang w:val="uk-UA"/>
              </w:rPr>
              <w:t xml:space="preserve">Україна, Полтавська область, </w:t>
            </w:r>
            <w:r w:rsidRPr="00635BA5">
              <w:rPr>
                <w:rFonts w:ascii="Times New Roman" w:hAnsi="Times New Roman" w:cs="Times New Roman"/>
                <w:lang w:val="uk-UA"/>
              </w:rPr>
              <w:br/>
              <w:t xml:space="preserve">Кременчуцький район, місто Кременчук, </w:t>
            </w:r>
            <w:r w:rsidRPr="00635BA5">
              <w:rPr>
                <w:rFonts w:ascii="Times New Roman" w:hAnsi="Times New Roman" w:cs="Times New Roman"/>
                <w:lang w:val="uk-UA"/>
              </w:rPr>
              <w:br/>
              <w:t xml:space="preserve">вул. </w:t>
            </w:r>
            <w:r w:rsidR="0091649E">
              <w:rPr>
                <w:rFonts w:ascii="Times New Roman" w:hAnsi="Times New Roman" w:cs="Times New Roman"/>
                <w:lang w:val="uk-UA"/>
              </w:rPr>
              <w:t>Валентини Федько</w:t>
            </w:r>
            <w:r w:rsidRPr="00635BA5"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326" w:type="pct"/>
          </w:tcPr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5BA5">
              <w:rPr>
                <w:rFonts w:ascii="Times New Roman" w:hAnsi="Times New Roman" w:cs="Times New Roman"/>
                <w:lang w:val="uk-UA"/>
              </w:rPr>
              <w:t>___ [червня] 2024 року</w:t>
            </w:r>
          </w:p>
          <w:p w:rsidR="00635BA5" w:rsidRPr="00635BA5" w:rsidRDefault="00635BA5" w:rsidP="005A5D9A">
            <w:pPr>
              <w:pStyle w:val="a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5BA5">
              <w:rPr>
                <w:rFonts w:ascii="Times New Roman" w:hAnsi="Times New Roman" w:cs="Times New Roman"/>
                <w:lang w:val="ru-RU"/>
              </w:rPr>
              <w:t>[</w:t>
            </w:r>
            <w:r w:rsidRPr="00635BA5">
              <w:rPr>
                <w:rFonts w:ascii="Times New Roman" w:hAnsi="Times New Roman" w:cs="Times New Roman"/>
                <w:highlight w:val="yellow"/>
                <w:lang w:val="ru-RU"/>
              </w:rPr>
              <w:t xml:space="preserve">* </w:t>
            </w:r>
            <w:r w:rsidRPr="00635BA5">
              <w:rPr>
                <w:rFonts w:ascii="Times New Roman" w:hAnsi="Times New Roman" w:cs="Times New Roman"/>
                <w:highlight w:val="yellow"/>
                <w:lang w:val="uk-UA"/>
              </w:rPr>
              <w:t>Дата цього Листа про внесення змін буде додана під час підписання</w:t>
            </w:r>
            <w:r w:rsidRPr="00635BA5">
              <w:rPr>
                <w:rFonts w:ascii="Times New Roman" w:hAnsi="Times New Roman" w:cs="Times New Roman"/>
                <w:lang w:val="ru-RU"/>
              </w:rPr>
              <w:t>]</w:t>
            </w:r>
          </w:p>
        </w:tc>
      </w:tr>
      <w:bookmarkEnd w:id="9"/>
    </w:tbl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br w:type="page"/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b/>
          <w:lang w:val="uk-UA"/>
        </w:rPr>
      </w:pPr>
      <w:r w:rsidRPr="00635BA5">
        <w:rPr>
          <w:rFonts w:ascii="Times New Roman" w:hAnsi="Times New Roman" w:cs="Times New Roman"/>
          <w:b/>
          <w:lang w:val="uk-UA"/>
        </w:rPr>
        <w:lastRenderedPageBreak/>
        <w:t>ДОДАТОК B</w:t>
      </w:r>
      <w:r w:rsidRPr="00635BA5">
        <w:rPr>
          <w:rFonts w:ascii="Times New Roman" w:hAnsi="Times New Roman" w:cs="Times New Roman"/>
          <w:b/>
          <w:lang w:val="uk-UA"/>
        </w:rPr>
        <w:br/>
      </w:r>
      <w:bookmarkStart w:id="10" w:name="_9kMHzG6ZWuDJBFGIlMiliz8tBZ0512y26xEMEA8"/>
      <w:bookmarkStart w:id="11" w:name="_9kMIH5YVtCIB78IkLhkhy7sAYz401x15wDLD97I"/>
      <w:bookmarkStart w:id="12" w:name="_9kMIH5YVtCIB79EfLhkhy7sAYz401x15wDLD97I"/>
      <w:bookmarkStart w:id="13" w:name="_9kMIH5YVtCIB79GhLhkhy7sAYz401x15wDLD97I"/>
      <w:r w:rsidRPr="00635BA5">
        <w:rPr>
          <w:rFonts w:ascii="Times New Roman" w:hAnsi="Times New Roman" w:cs="Times New Roman"/>
          <w:b/>
          <w:lang w:val="uk-UA"/>
        </w:rPr>
        <w:t xml:space="preserve">ЗМІНЕНИЙ ТА ВИКЛАДЕНИЙ В НОВІЙ РЕДАКЦІЇ ДОДАТОК </w:t>
      </w:r>
      <w:bookmarkEnd w:id="10"/>
      <w:bookmarkEnd w:id="11"/>
      <w:bookmarkEnd w:id="12"/>
      <w:bookmarkEnd w:id="13"/>
      <w:r w:rsidRPr="00635BA5">
        <w:rPr>
          <w:rFonts w:ascii="Times New Roman" w:hAnsi="Times New Roman" w:cs="Times New Roman"/>
          <w:b/>
          <w:lang w:val="uk-UA"/>
        </w:rPr>
        <w:t>3</w:t>
      </w:r>
    </w:p>
    <w:p w:rsidR="00635BA5" w:rsidRPr="00635BA5" w:rsidRDefault="00635BA5" w:rsidP="00635BA5">
      <w:pPr>
        <w:pStyle w:val="a1"/>
        <w:jc w:val="center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1"/>
        <w:jc w:val="center"/>
        <w:rPr>
          <w:rFonts w:ascii="Times New Roman" w:eastAsiaTheme="majorEastAsia" w:hAnsi="Times New Roman" w:cs="Times New Roman"/>
          <w:b/>
          <w:bCs/>
          <w:lang w:val="uk-UA"/>
        </w:rPr>
      </w:pPr>
      <w:r w:rsidRPr="00635BA5">
        <w:rPr>
          <w:rFonts w:ascii="Times New Roman" w:hAnsi="Times New Roman" w:cs="Times New Roman"/>
          <w:b/>
          <w:bCs/>
          <w:lang w:val="uk-UA"/>
        </w:rPr>
        <w:t>ПРИЙНЯТНІ ЗАХОДИ</w:t>
      </w:r>
    </w:p>
    <w:p w:rsidR="00635BA5" w:rsidRPr="00635BA5" w:rsidRDefault="00635BA5" w:rsidP="00635BA5">
      <w:pPr>
        <w:pStyle w:val="a1"/>
        <w:jc w:val="both"/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pStyle w:val="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Гранти будуть використовуватися для фінансування витрат, що стосуються всіх заходів, які включені до будь-яких з наступних документів (такі заходи надалі – "</w:t>
      </w:r>
      <w:r w:rsidRPr="00635BA5">
        <w:rPr>
          <w:rStyle w:val="Definition"/>
          <w:rFonts w:ascii="Times New Roman" w:hAnsi="Times New Roman" w:cs="Times New Roman"/>
          <w:lang w:val="uk-UA"/>
        </w:rPr>
        <w:t>Прийнятні Заходи</w:t>
      </w:r>
      <w:r w:rsidRPr="00635BA5">
        <w:rPr>
          <w:rFonts w:ascii="Times New Roman" w:hAnsi="Times New Roman" w:cs="Times New Roman"/>
          <w:lang w:val="uk-UA"/>
        </w:rPr>
        <w:t>"):</w:t>
      </w:r>
    </w:p>
    <w:p w:rsidR="00635BA5" w:rsidRPr="00635BA5" w:rsidRDefault="00635BA5" w:rsidP="00635BA5">
      <w:pPr>
        <w:pStyle w:val="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Проектна Документація; або</w:t>
      </w:r>
    </w:p>
    <w:p w:rsidR="00635BA5" w:rsidRPr="00635BA5" w:rsidRDefault="00635BA5" w:rsidP="00635BA5">
      <w:pPr>
        <w:pStyle w:val="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дефектний акт та відповідна кошторисна документація, якщо Проект реалізується без Проектної Документації (якщо це дозволено чинним законодавством України).</w:t>
      </w:r>
    </w:p>
    <w:p w:rsidR="00635BA5" w:rsidRPr="00635BA5" w:rsidRDefault="00635BA5" w:rsidP="00635BA5">
      <w:pPr>
        <w:pStyle w:val="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Крім того, Гранти будуть використані для відшкодування вартості послуг з проектування (включно з розробкою Проектної Документації або дефектного акту та відповідної кошторисної документації) після завершення будівельних робіт, введення в експлуатацію відповідної Прийнятної Будівлі для проживання та успішної верифікації відповідного Проекту зі сторони МФК.</w:t>
      </w:r>
    </w:p>
    <w:p w:rsidR="00635BA5" w:rsidRPr="00635BA5" w:rsidRDefault="00635BA5" w:rsidP="00635BA5">
      <w:pPr>
        <w:pStyle w:val="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Якщо Прийнятні Заходи включають енергоефективні матеріали та/або технології для енергоефективних рішень для будівель, вартість таких матеріалів та/або технологій буде покриватися за рахунок Грантів.</w:t>
      </w:r>
    </w:p>
    <w:p w:rsidR="00635BA5" w:rsidRPr="00635BA5" w:rsidRDefault="00635BA5" w:rsidP="00635BA5">
      <w:pPr>
        <w:pStyle w:val="a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Для уникнення сумнівів, Гранти не покривають витрати, що стосуються такого:</w:t>
      </w:r>
    </w:p>
    <w:p w:rsidR="00635BA5" w:rsidRPr="00635BA5" w:rsidRDefault="00635BA5" w:rsidP="00635BA5">
      <w:pPr>
        <w:pStyle w:val="20"/>
        <w:numPr>
          <w:ilvl w:val="1"/>
          <w:numId w:val="6"/>
        </w:numPr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меблі та предмети, аналогічні меблям, крім (i) ліжок, (ii) шаф, (iii) обідніх столів і стільців, (iv) кухонних шаф, ящиків і стільниць;</w:t>
      </w:r>
    </w:p>
    <w:p w:rsidR="00635BA5" w:rsidRPr="00635BA5" w:rsidRDefault="00635BA5" w:rsidP="00635BA5">
      <w:pPr>
        <w:pStyle w:val="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побутова техніка, крім (i) кухонних плит і кухонних витяжних вентиляторів, (ii) холодильників, (iii) бойлерів для води та (iv) пральних і сушильних машин;</w:t>
      </w:r>
    </w:p>
    <w:p w:rsidR="00635BA5" w:rsidRPr="00635BA5" w:rsidRDefault="00635BA5" w:rsidP="00635BA5">
      <w:pPr>
        <w:pStyle w:val="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авторський та технічний нагляд за реалізацією Прийнятних Заходів протягом періоду реалізації Проекту; та</w:t>
      </w:r>
    </w:p>
    <w:p w:rsidR="00635BA5" w:rsidRPr="00635BA5" w:rsidRDefault="00635BA5" w:rsidP="00635BA5">
      <w:pPr>
        <w:pStyle w:val="20"/>
        <w:rPr>
          <w:rFonts w:ascii="Times New Roman" w:hAnsi="Times New Roman" w:cs="Times New Roman"/>
          <w:lang w:val="uk-UA"/>
        </w:rPr>
      </w:pPr>
      <w:r w:rsidRPr="00635BA5">
        <w:rPr>
          <w:rFonts w:ascii="Times New Roman" w:hAnsi="Times New Roman" w:cs="Times New Roman"/>
          <w:lang w:val="uk-UA"/>
        </w:rPr>
        <w:t>інші заходи та види діяльності, що не підпадають під визначення Прийнятних Заходів за цим Договором.</w:t>
      </w:r>
    </w:p>
    <w:p w:rsidR="00635BA5" w:rsidRPr="00635BA5" w:rsidRDefault="00635BA5" w:rsidP="00635BA5">
      <w:pPr>
        <w:rPr>
          <w:rFonts w:ascii="Times New Roman" w:hAnsi="Times New Roman" w:cs="Times New Roman"/>
          <w:lang w:val="uk-UA"/>
        </w:rPr>
      </w:pPr>
    </w:p>
    <w:p w:rsidR="00635BA5" w:rsidRPr="00635BA5" w:rsidRDefault="00635BA5" w:rsidP="00635B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5BA5" w:rsidRPr="00635BA5" w:rsidSect="003F7BBE">
      <w:footerReference w:type="default" r:id="rId10"/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850" w:rsidRDefault="00964850" w:rsidP="003F7BBE">
      <w:pPr>
        <w:spacing w:after="0" w:line="240" w:lineRule="auto"/>
      </w:pPr>
      <w:r>
        <w:separator/>
      </w:r>
    </w:p>
  </w:endnote>
  <w:endnote w:type="continuationSeparator" w:id="0">
    <w:p w:rsidR="00964850" w:rsidRDefault="00964850" w:rsidP="003F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BBE" w:rsidRPr="003F7BBE" w:rsidRDefault="00964850" w:rsidP="003F7BBE">
    <w:pPr>
      <w:pStyle w:val="ae"/>
      <w:jc w:val="center"/>
      <w:rPr>
        <w:rFonts w:ascii="Times New Roman" w:eastAsiaTheme="minorEastAsia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640685121"/>
        <w:docPartObj>
          <w:docPartGallery w:val="Page Numbers (Bottom of Page)"/>
          <w:docPartUnique/>
        </w:docPartObj>
      </w:sdtPr>
      <w:sdtEndPr/>
      <w:sdtContent>
        <w:r w:rsidR="003F7BBE" w:rsidRPr="00E94A80">
          <w:rPr>
            <w:rFonts w:ascii="Times New Roman" w:hAnsi="Times New Roman" w:cs="Times New Roman"/>
            <w:sz w:val="20"/>
            <w:szCs w:val="20"/>
          </w:rPr>
          <w:t xml:space="preserve">- </w:t>
        </w:r>
        <w:r w:rsidR="003F7BBE" w:rsidRPr="00E94A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F7BBE" w:rsidRPr="00E94A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3F7BBE" w:rsidRPr="00E94A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7BB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3F7BBE" w:rsidRPr="00E94A80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F7BBE" w:rsidRPr="00E94A80">
          <w:rPr>
            <w:rFonts w:ascii="Times New Roman" w:hAnsi="Times New Roman" w:cs="Times New Roman"/>
            <w:sz w:val="20"/>
            <w:szCs w:val="20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850" w:rsidRDefault="00964850" w:rsidP="003F7BBE">
      <w:pPr>
        <w:spacing w:after="0" w:line="240" w:lineRule="auto"/>
      </w:pPr>
      <w:r>
        <w:separator/>
      </w:r>
    </w:p>
  </w:footnote>
  <w:footnote w:type="continuationSeparator" w:id="0">
    <w:p w:rsidR="00964850" w:rsidRDefault="00964850" w:rsidP="003F7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622118"/>
    <w:multiLevelType w:val="multilevel"/>
    <w:tmpl w:val="DEA4C8F8"/>
    <w:styleLink w:val="BMListNumbers"/>
    <w:lvl w:ilvl="0">
      <w:start w:val="1"/>
      <w:numFmt w:val="decimal"/>
      <w:pStyle w:val="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20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30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4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FC3910"/>
    <w:multiLevelType w:val="multilevel"/>
    <w:tmpl w:val="7B24B224"/>
    <w:numStyleLink w:val="BMHeadings"/>
  </w:abstractNum>
  <w:abstractNum w:abstractNumId="3" w15:restartNumberingAfterBreak="0">
    <w:nsid w:val="517C537A"/>
    <w:multiLevelType w:val="multilevel"/>
    <w:tmpl w:val="74E843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A346CE8"/>
    <w:multiLevelType w:val="hybridMultilevel"/>
    <w:tmpl w:val="B32058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36"/>
    <w:rsid w:val="002B6B5A"/>
    <w:rsid w:val="002C718E"/>
    <w:rsid w:val="003841BB"/>
    <w:rsid w:val="003F7BBE"/>
    <w:rsid w:val="00503C8F"/>
    <w:rsid w:val="00635BA5"/>
    <w:rsid w:val="0091649E"/>
    <w:rsid w:val="00964850"/>
    <w:rsid w:val="00B65336"/>
    <w:rsid w:val="00E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BBA2"/>
  <w15:chartTrackingRefBased/>
  <w15:docId w15:val="{7A985667-A9FB-4E47-ABC8-ACC5D20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qFormat/>
    <w:rsid w:val="00635BA5"/>
    <w:pPr>
      <w:keepNext/>
      <w:numPr>
        <w:numId w:val="4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Cs w:val="28"/>
      <w:lang w:eastAsia="zh-CN"/>
    </w:rPr>
  </w:style>
  <w:style w:type="paragraph" w:styleId="2">
    <w:name w:val="heading 2"/>
    <w:basedOn w:val="a0"/>
    <w:next w:val="a1"/>
    <w:link w:val="21"/>
    <w:qFormat/>
    <w:rsid w:val="00635BA5"/>
    <w:pPr>
      <w:numPr>
        <w:ilvl w:val="1"/>
        <w:numId w:val="4"/>
      </w:numPr>
      <w:spacing w:after="180" w:line="260" w:lineRule="atLeast"/>
      <w:jc w:val="both"/>
      <w:outlineLvl w:val="1"/>
    </w:pPr>
    <w:rPr>
      <w:rFonts w:ascii="Times New Roman" w:eastAsiaTheme="majorEastAsia" w:hAnsi="Times New Roman" w:cs="Times New Roman"/>
      <w:szCs w:val="28"/>
      <w:lang w:eastAsia="zh-CN"/>
    </w:rPr>
  </w:style>
  <w:style w:type="paragraph" w:styleId="3">
    <w:name w:val="heading 3"/>
    <w:basedOn w:val="a0"/>
    <w:next w:val="a2"/>
    <w:link w:val="31"/>
    <w:qFormat/>
    <w:rsid w:val="00635BA5"/>
    <w:pPr>
      <w:numPr>
        <w:ilvl w:val="2"/>
        <w:numId w:val="4"/>
      </w:numPr>
      <w:spacing w:after="180" w:line="260" w:lineRule="atLeast"/>
      <w:jc w:val="both"/>
      <w:outlineLvl w:val="2"/>
    </w:pPr>
    <w:rPr>
      <w:rFonts w:eastAsiaTheme="minorEastAsia"/>
      <w:szCs w:val="28"/>
      <w:lang w:val="en-GB" w:eastAsia="zh-CN"/>
    </w:rPr>
  </w:style>
  <w:style w:type="paragraph" w:styleId="4">
    <w:name w:val="heading 4"/>
    <w:basedOn w:val="a0"/>
    <w:link w:val="41"/>
    <w:qFormat/>
    <w:rsid w:val="00635BA5"/>
    <w:pPr>
      <w:numPr>
        <w:ilvl w:val="3"/>
        <w:numId w:val="4"/>
      </w:numPr>
      <w:spacing w:after="180" w:line="260" w:lineRule="atLeast"/>
      <w:jc w:val="both"/>
      <w:outlineLvl w:val="3"/>
    </w:pPr>
    <w:rPr>
      <w:rFonts w:eastAsiaTheme="minorEastAsia"/>
      <w:szCs w:val="28"/>
      <w:lang w:eastAsia="zh-CN"/>
    </w:rPr>
  </w:style>
  <w:style w:type="paragraph" w:styleId="5">
    <w:name w:val="heading 5"/>
    <w:basedOn w:val="a0"/>
    <w:link w:val="50"/>
    <w:qFormat/>
    <w:rsid w:val="00635BA5"/>
    <w:pPr>
      <w:numPr>
        <w:ilvl w:val="4"/>
        <w:numId w:val="4"/>
      </w:numPr>
      <w:spacing w:after="180" w:line="260" w:lineRule="atLeast"/>
      <w:jc w:val="both"/>
      <w:outlineLvl w:val="4"/>
    </w:pPr>
    <w:rPr>
      <w:rFonts w:eastAsiaTheme="minorEastAsia"/>
      <w:szCs w:val="28"/>
      <w:lang w:eastAsia="zh-CN"/>
    </w:rPr>
  </w:style>
  <w:style w:type="paragraph" w:styleId="6">
    <w:name w:val="heading 6"/>
    <w:basedOn w:val="a0"/>
    <w:link w:val="60"/>
    <w:qFormat/>
    <w:rsid w:val="00635BA5"/>
    <w:pPr>
      <w:numPr>
        <w:ilvl w:val="5"/>
        <w:numId w:val="4"/>
      </w:numPr>
      <w:spacing w:after="180" w:line="260" w:lineRule="atLeast"/>
      <w:outlineLvl w:val="5"/>
    </w:pPr>
    <w:rPr>
      <w:rFonts w:eastAsiaTheme="minorEastAsia"/>
      <w:szCs w:val="28"/>
      <w:lang w:eastAsia="zh-CN"/>
    </w:rPr>
  </w:style>
  <w:style w:type="paragraph" w:styleId="7">
    <w:name w:val="heading 7"/>
    <w:basedOn w:val="a0"/>
    <w:link w:val="70"/>
    <w:qFormat/>
    <w:rsid w:val="00635BA5"/>
    <w:pPr>
      <w:numPr>
        <w:ilvl w:val="6"/>
        <w:numId w:val="4"/>
      </w:numPr>
      <w:spacing w:after="180" w:line="260" w:lineRule="atLeast"/>
      <w:outlineLvl w:val="6"/>
    </w:pPr>
    <w:rPr>
      <w:rFonts w:eastAsiaTheme="minorEastAsia"/>
      <w:szCs w:val="28"/>
      <w:lang w:eastAsia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635BA5"/>
    <w:rPr>
      <w:rFonts w:asciiTheme="majorHAnsi" w:eastAsiaTheme="majorEastAsia" w:hAnsiTheme="majorHAnsi" w:cstheme="majorHAnsi"/>
      <w:b/>
      <w:bCs/>
      <w:szCs w:val="28"/>
      <w:lang w:eastAsia="zh-CN"/>
    </w:rPr>
  </w:style>
  <w:style w:type="character" w:customStyle="1" w:styleId="21">
    <w:name w:val="Заголовок 2 Знак"/>
    <w:basedOn w:val="a3"/>
    <w:link w:val="2"/>
    <w:rsid w:val="00635BA5"/>
    <w:rPr>
      <w:rFonts w:ascii="Times New Roman" w:eastAsiaTheme="majorEastAsia" w:hAnsi="Times New Roman" w:cs="Times New Roman"/>
      <w:szCs w:val="28"/>
      <w:lang w:eastAsia="zh-CN"/>
    </w:rPr>
  </w:style>
  <w:style w:type="character" w:customStyle="1" w:styleId="31">
    <w:name w:val="Заголовок 3 Знак"/>
    <w:basedOn w:val="a3"/>
    <w:link w:val="3"/>
    <w:rsid w:val="00635BA5"/>
    <w:rPr>
      <w:rFonts w:eastAsiaTheme="minorEastAsia"/>
      <w:szCs w:val="28"/>
      <w:lang w:val="en-GB" w:eastAsia="zh-CN"/>
    </w:rPr>
  </w:style>
  <w:style w:type="character" w:customStyle="1" w:styleId="41">
    <w:name w:val="Заголовок 4 Знак"/>
    <w:basedOn w:val="a3"/>
    <w:link w:val="4"/>
    <w:rsid w:val="00635BA5"/>
    <w:rPr>
      <w:rFonts w:eastAsiaTheme="minorEastAsia"/>
      <w:szCs w:val="28"/>
      <w:lang w:eastAsia="zh-CN"/>
    </w:rPr>
  </w:style>
  <w:style w:type="character" w:customStyle="1" w:styleId="50">
    <w:name w:val="Заголовок 5 Знак"/>
    <w:basedOn w:val="a3"/>
    <w:link w:val="5"/>
    <w:rsid w:val="00635BA5"/>
    <w:rPr>
      <w:rFonts w:eastAsiaTheme="minorEastAsia"/>
      <w:szCs w:val="28"/>
      <w:lang w:eastAsia="zh-CN"/>
    </w:rPr>
  </w:style>
  <w:style w:type="character" w:customStyle="1" w:styleId="60">
    <w:name w:val="Заголовок 6 Знак"/>
    <w:basedOn w:val="a3"/>
    <w:link w:val="6"/>
    <w:rsid w:val="00635BA5"/>
    <w:rPr>
      <w:rFonts w:eastAsiaTheme="minorEastAsia"/>
      <w:szCs w:val="28"/>
      <w:lang w:eastAsia="zh-CN"/>
    </w:rPr>
  </w:style>
  <w:style w:type="character" w:customStyle="1" w:styleId="70">
    <w:name w:val="Заголовок 7 Знак"/>
    <w:basedOn w:val="a3"/>
    <w:link w:val="7"/>
    <w:rsid w:val="00635BA5"/>
    <w:rPr>
      <w:rFonts w:eastAsiaTheme="minorEastAsia"/>
      <w:szCs w:val="28"/>
      <w:lang w:eastAsia="zh-CN"/>
    </w:rPr>
  </w:style>
  <w:style w:type="paragraph" w:styleId="a">
    <w:name w:val="List Number"/>
    <w:basedOn w:val="a0"/>
    <w:uiPriority w:val="7"/>
    <w:qFormat/>
    <w:rsid w:val="00635BA5"/>
    <w:pPr>
      <w:numPr>
        <w:numId w:val="2"/>
      </w:numPr>
      <w:spacing w:after="180" w:line="260" w:lineRule="atLeast"/>
      <w:jc w:val="both"/>
    </w:pPr>
    <w:rPr>
      <w:rFonts w:eastAsiaTheme="minorEastAsia"/>
      <w:szCs w:val="28"/>
      <w:lang w:val="en-GB" w:eastAsia="zh-CN"/>
    </w:rPr>
  </w:style>
  <w:style w:type="character" w:customStyle="1" w:styleId="Definition">
    <w:name w:val="Definition"/>
    <w:basedOn w:val="a3"/>
    <w:uiPriority w:val="2"/>
    <w:rsid w:val="00635BA5"/>
    <w:rPr>
      <w:b/>
      <w:bCs/>
      <w:i w:val="0"/>
      <w:szCs w:val="28"/>
    </w:rPr>
  </w:style>
  <w:style w:type="paragraph" w:styleId="20">
    <w:name w:val="List Number 2"/>
    <w:basedOn w:val="a0"/>
    <w:uiPriority w:val="7"/>
    <w:qFormat/>
    <w:rsid w:val="00635BA5"/>
    <w:pPr>
      <w:numPr>
        <w:ilvl w:val="1"/>
        <w:numId w:val="2"/>
      </w:numPr>
      <w:spacing w:after="180" w:line="260" w:lineRule="atLeast"/>
      <w:jc w:val="both"/>
    </w:pPr>
    <w:rPr>
      <w:rFonts w:eastAsiaTheme="minorEastAsia"/>
      <w:szCs w:val="28"/>
      <w:lang w:val="en-GB" w:eastAsia="zh-CN"/>
    </w:rPr>
  </w:style>
  <w:style w:type="paragraph" w:styleId="30">
    <w:name w:val="List Number 3"/>
    <w:basedOn w:val="a0"/>
    <w:uiPriority w:val="7"/>
    <w:qFormat/>
    <w:rsid w:val="00635BA5"/>
    <w:pPr>
      <w:numPr>
        <w:ilvl w:val="2"/>
        <w:numId w:val="2"/>
      </w:numPr>
      <w:spacing w:after="180" w:line="260" w:lineRule="atLeast"/>
    </w:pPr>
    <w:rPr>
      <w:rFonts w:eastAsiaTheme="minorEastAsia"/>
      <w:szCs w:val="28"/>
      <w:lang w:eastAsia="zh-CN"/>
    </w:rPr>
  </w:style>
  <w:style w:type="paragraph" w:styleId="40">
    <w:name w:val="List Number 4"/>
    <w:basedOn w:val="a0"/>
    <w:uiPriority w:val="7"/>
    <w:qFormat/>
    <w:rsid w:val="00635BA5"/>
    <w:pPr>
      <w:numPr>
        <w:ilvl w:val="3"/>
        <w:numId w:val="2"/>
      </w:numPr>
      <w:spacing w:after="180" w:line="260" w:lineRule="atLeast"/>
    </w:pPr>
    <w:rPr>
      <w:rFonts w:eastAsiaTheme="minorEastAsia"/>
      <w:szCs w:val="28"/>
      <w:lang w:eastAsia="zh-CN"/>
    </w:rPr>
  </w:style>
  <w:style w:type="paragraph" w:styleId="a1">
    <w:name w:val="Body Text"/>
    <w:basedOn w:val="a0"/>
    <w:link w:val="a6"/>
    <w:qFormat/>
    <w:rsid w:val="00635BA5"/>
    <w:pPr>
      <w:spacing w:after="180" w:line="260" w:lineRule="atLeast"/>
    </w:pPr>
    <w:rPr>
      <w:rFonts w:eastAsiaTheme="minorEastAsia"/>
      <w:szCs w:val="28"/>
      <w:lang w:eastAsia="zh-CN"/>
    </w:rPr>
  </w:style>
  <w:style w:type="character" w:customStyle="1" w:styleId="a6">
    <w:name w:val="Основний текст Знак"/>
    <w:basedOn w:val="a3"/>
    <w:link w:val="a1"/>
    <w:rsid w:val="00635BA5"/>
    <w:rPr>
      <w:rFonts w:eastAsiaTheme="minorEastAsia"/>
      <w:szCs w:val="28"/>
      <w:lang w:eastAsia="zh-CN"/>
    </w:rPr>
  </w:style>
  <w:style w:type="character" w:styleId="a7">
    <w:name w:val="Hyperlink"/>
    <w:uiPriority w:val="6"/>
    <w:semiHidden/>
    <w:rsid w:val="00635BA5"/>
    <w:rPr>
      <w:color w:val="0000FF"/>
      <w:u w:val="single"/>
    </w:rPr>
  </w:style>
  <w:style w:type="paragraph" w:customStyle="1" w:styleId="Da">
    <w:name w:val="D(a)"/>
    <w:basedOn w:val="a0"/>
    <w:uiPriority w:val="4"/>
    <w:rsid w:val="00635BA5"/>
    <w:pPr>
      <w:numPr>
        <w:ilvl w:val="1"/>
        <w:numId w:val="3"/>
      </w:numPr>
      <w:spacing w:after="180" w:line="260" w:lineRule="atLeast"/>
      <w:jc w:val="both"/>
    </w:pPr>
    <w:rPr>
      <w:rFonts w:eastAsiaTheme="minorEastAsia"/>
      <w:szCs w:val="28"/>
      <w:lang w:val="en-GB" w:eastAsia="zh-CN"/>
    </w:rPr>
  </w:style>
  <w:style w:type="paragraph" w:customStyle="1" w:styleId="DA0">
    <w:name w:val="D(A)"/>
    <w:basedOn w:val="a0"/>
    <w:uiPriority w:val="6"/>
    <w:rsid w:val="00635BA5"/>
    <w:pPr>
      <w:numPr>
        <w:ilvl w:val="3"/>
        <w:numId w:val="3"/>
      </w:numPr>
      <w:spacing w:after="180" w:line="260" w:lineRule="atLeast"/>
    </w:pPr>
    <w:rPr>
      <w:rFonts w:eastAsiaTheme="minorEastAsia"/>
      <w:szCs w:val="28"/>
      <w:lang w:eastAsia="zh-CN"/>
    </w:rPr>
  </w:style>
  <w:style w:type="paragraph" w:customStyle="1" w:styleId="Di">
    <w:name w:val="D(i)"/>
    <w:basedOn w:val="a0"/>
    <w:uiPriority w:val="5"/>
    <w:rsid w:val="00635BA5"/>
    <w:pPr>
      <w:numPr>
        <w:ilvl w:val="2"/>
        <w:numId w:val="3"/>
      </w:numPr>
      <w:spacing w:after="180" w:line="260" w:lineRule="atLeast"/>
      <w:jc w:val="both"/>
    </w:pPr>
    <w:rPr>
      <w:rFonts w:eastAsiaTheme="minorEastAsia"/>
      <w:szCs w:val="28"/>
      <w:lang w:val="en-GB" w:eastAsia="zh-CN"/>
    </w:rPr>
  </w:style>
  <w:style w:type="paragraph" w:customStyle="1" w:styleId="DefinitionParagraph">
    <w:name w:val="Definition Paragraph"/>
    <w:basedOn w:val="a0"/>
    <w:uiPriority w:val="2"/>
    <w:rsid w:val="00635BA5"/>
    <w:pPr>
      <w:numPr>
        <w:numId w:val="3"/>
      </w:numPr>
      <w:spacing w:after="180" w:line="260" w:lineRule="atLeast"/>
      <w:jc w:val="both"/>
    </w:pPr>
    <w:rPr>
      <w:rFonts w:eastAsiaTheme="minorEastAsia"/>
      <w:szCs w:val="28"/>
      <w:lang w:eastAsia="zh-CN"/>
    </w:rPr>
  </w:style>
  <w:style w:type="numbering" w:customStyle="1" w:styleId="BMHeadings">
    <w:name w:val="B&amp;M Headings"/>
    <w:uiPriority w:val="99"/>
    <w:rsid w:val="00635BA5"/>
    <w:pPr>
      <w:numPr>
        <w:numId w:val="1"/>
      </w:numPr>
    </w:pPr>
  </w:style>
  <w:style w:type="numbering" w:customStyle="1" w:styleId="BMListNumbers">
    <w:name w:val="B&amp;M List Numbers"/>
    <w:uiPriority w:val="99"/>
    <w:rsid w:val="00635BA5"/>
    <w:pPr>
      <w:numPr>
        <w:numId w:val="2"/>
      </w:numPr>
    </w:pPr>
  </w:style>
  <w:style w:type="numbering" w:customStyle="1" w:styleId="BMDefinitions">
    <w:name w:val="B&amp;M Definitions"/>
    <w:uiPriority w:val="99"/>
    <w:rsid w:val="00635BA5"/>
    <w:pPr>
      <w:numPr>
        <w:numId w:val="3"/>
      </w:numPr>
    </w:pPr>
  </w:style>
  <w:style w:type="paragraph" w:styleId="a2">
    <w:name w:val="Body Text Indent"/>
    <w:basedOn w:val="a0"/>
    <w:link w:val="a8"/>
    <w:qFormat/>
    <w:rsid w:val="00635BA5"/>
    <w:pPr>
      <w:spacing w:after="180" w:line="260" w:lineRule="exact"/>
      <w:ind w:left="709"/>
      <w:jc w:val="both"/>
    </w:pPr>
    <w:rPr>
      <w:rFonts w:eastAsiaTheme="minorEastAsia"/>
      <w:szCs w:val="28"/>
      <w:lang w:eastAsia="zh-CN"/>
    </w:rPr>
  </w:style>
  <w:style w:type="character" w:customStyle="1" w:styleId="a8">
    <w:name w:val="Основний текст з відступом Знак"/>
    <w:basedOn w:val="a3"/>
    <w:link w:val="a2"/>
    <w:rsid w:val="00635BA5"/>
    <w:rPr>
      <w:rFonts w:eastAsiaTheme="minorEastAsia"/>
      <w:szCs w:val="28"/>
      <w:lang w:eastAsia="zh-CN"/>
    </w:rPr>
  </w:style>
  <w:style w:type="table" w:styleId="a9">
    <w:name w:val="Table Grid"/>
    <w:aliases w:val="GFA Table Grid"/>
    <w:basedOn w:val="a4"/>
    <w:rsid w:val="00635BA5"/>
    <w:pPr>
      <w:spacing w:after="0" w:line="240" w:lineRule="auto"/>
    </w:pPr>
    <w:rPr>
      <w:rFonts w:eastAsia="PMingLiU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H2Unbolded">
    <w:name w:val="SchH2 Unbolded"/>
    <w:basedOn w:val="a0"/>
    <w:next w:val="a2"/>
    <w:uiPriority w:val="6"/>
    <w:semiHidden/>
    <w:qFormat/>
    <w:rsid w:val="00635BA5"/>
    <w:pPr>
      <w:tabs>
        <w:tab w:val="num" w:pos="720"/>
      </w:tabs>
      <w:spacing w:after="180" w:line="260" w:lineRule="atLeast"/>
      <w:ind w:left="720" w:hanging="720"/>
      <w:jc w:val="both"/>
      <w:outlineLvl w:val="1"/>
    </w:pPr>
    <w:rPr>
      <w:rFonts w:eastAsiaTheme="majorEastAsia" w:cs="Times New Roman"/>
      <w:bCs/>
      <w:szCs w:val="28"/>
      <w:lang w:eastAsia="zh-CN"/>
    </w:rPr>
  </w:style>
  <w:style w:type="paragraph" w:styleId="aa">
    <w:name w:val="Balloon Text"/>
    <w:basedOn w:val="a0"/>
    <w:link w:val="ab"/>
    <w:uiPriority w:val="99"/>
    <w:semiHidden/>
    <w:unhideWhenUsed/>
    <w:rsid w:val="0091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3"/>
    <w:link w:val="aa"/>
    <w:uiPriority w:val="99"/>
    <w:semiHidden/>
    <w:rsid w:val="0091649E"/>
    <w:rPr>
      <w:rFonts w:ascii="Segoe UI" w:hAnsi="Segoe UI" w:cs="Segoe U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3F7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ій колонтитул Знак"/>
    <w:basedOn w:val="a3"/>
    <w:link w:val="ac"/>
    <w:uiPriority w:val="99"/>
    <w:rsid w:val="003F7BBE"/>
  </w:style>
  <w:style w:type="paragraph" w:styleId="ae">
    <w:name w:val="footer"/>
    <w:basedOn w:val="a0"/>
    <w:link w:val="af"/>
    <w:uiPriority w:val="99"/>
    <w:unhideWhenUsed/>
    <w:rsid w:val="003F7B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ій колонтитул Знак"/>
    <w:basedOn w:val="a3"/>
    <w:link w:val="ae"/>
    <w:uiPriority w:val="99"/>
    <w:rsid w:val="003F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o-ombudsm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c.org/Disclosu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uments.worldbank.org/en/publication/documents-reports/documentdetail/889191625065397617/ifc-miga-independent-accountability-mechanism-cao-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2024-05-29T13:28:00Z</cp:lastPrinted>
  <dcterms:created xsi:type="dcterms:W3CDTF">2024-05-29T11:37:00Z</dcterms:created>
  <dcterms:modified xsi:type="dcterms:W3CDTF">2024-05-30T08:28:00Z</dcterms:modified>
</cp:coreProperties>
</file>