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3" w:rsidRPr="005A75D0" w:rsidRDefault="009810F4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</w:t>
      </w:r>
      <w:r w:rsidR="005A75D0">
        <w:rPr>
          <w:noProof/>
          <w:lang w:val="uk-UA"/>
        </w:rPr>
        <w:t xml:space="preserve">   </w:t>
      </w:r>
      <w:r w:rsidR="00893787">
        <w:rPr>
          <w:noProof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    </w:t>
      </w:r>
      <w:r w:rsidR="00893787">
        <w:rPr>
          <w:sz w:val="28"/>
          <w:szCs w:val="28"/>
          <w:lang w:val="uk-UA"/>
        </w:rPr>
        <w:t xml:space="preserve">  </w:t>
      </w:r>
      <w:r w:rsidR="00DA6E11">
        <w:rPr>
          <w:noProof/>
          <w:lang w:val="uk-UA" w:eastAsia="uk-UA"/>
        </w:rPr>
        <w:drawing>
          <wp:inline distT="0" distB="0" distL="0" distR="0">
            <wp:extent cx="44509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</w:t>
      </w:r>
      <w:r w:rsidR="005A75D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</w:t>
      </w:r>
      <w:r w:rsidR="00893787">
        <w:rPr>
          <w:sz w:val="28"/>
          <w:szCs w:val="28"/>
          <w:lang w:val="uk-UA"/>
        </w:rPr>
        <w:t xml:space="preserve">   </w:t>
      </w:r>
      <w:r w:rsidRPr="005A75D0">
        <w:rPr>
          <w:sz w:val="28"/>
          <w:szCs w:val="28"/>
          <w:lang w:val="uk-UA"/>
        </w:rPr>
        <w:t>ПРОЄКТ</w:t>
      </w:r>
    </w:p>
    <w:p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0751E6">
        <w:rPr>
          <w:b/>
          <w:sz w:val="28"/>
          <w:szCs w:val="28"/>
          <w:lang w:val="uk-UA"/>
        </w:rPr>
        <w:t xml:space="preserve">ПОЗАЧЕРГОВА </w:t>
      </w:r>
      <w:r w:rsidR="00B24E84" w:rsidRPr="000751E6">
        <w:rPr>
          <w:b/>
          <w:sz w:val="28"/>
          <w:szCs w:val="28"/>
          <w:lang w:val="en-US"/>
        </w:rPr>
        <w:t>X</w:t>
      </w:r>
      <w:r w:rsidR="007B1C5C" w:rsidRPr="000751E6">
        <w:rPr>
          <w:b/>
          <w:sz w:val="28"/>
          <w:szCs w:val="28"/>
          <w:lang w:val="uk-UA"/>
        </w:rPr>
        <w:t>Х</w:t>
      </w:r>
      <w:r w:rsidR="009810F4" w:rsidRPr="000751E6">
        <w:rPr>
          <w:b/>
          <w:sz w:val="28"/>
          <w:szCs w:val="28"/>
          <w:lang w:val="uk-UA"/>
        </w:rPr>
        <w:t>І</w:t>
      </w:r>
      <w:r w:rsidR="00E65977">
        <w:rPr>
          <w:b/>
          <w:sz w:val="28"/>
          <w:szCs w:val="28"/>
          <w:lang w:val="en-US"/>
        </w:rPr>
        <w:t>V</w:t>
      </w:r>
      <w:bookmarkStart w:id="0" w:name="_GoBack"/>
      <w:bookmarkEnd w:id="0"/>
      <w:r w:rsidR="00EA7739" w:rsidRPr="000751E6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:rsidR="00BD4165" w:rsidRPr="004A066D" w:rsidRDefault="005A75D0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</w:t>
      </w:r>
      <w:r w:rsidR="00E11925">
        <w:rPr>
          <w:b/>
          <w:sz w:val="28"/>
          <w:szCs w:val="28"/>
          <w:lang w:val="uk-UA"/>
        </w:rPr>
        <w:t xml:space="preserve">  </w:t>
      </w:r>
      <w:r w:rsidR="00C6784D">
        <w:rPr>
          <w:b/>
          <w:sz w:val="28"/>
          <w:szCs w:val="28"/>
          <w:lang w:val="uk-UA"/>
        </w:rPr>
        <w:t>___</w:t>
      </w:r>
      <w:r>
        <w:rPr>
          <w:b/>
          <w:sz w:val="28"/>
          <w:szCs w:val="28"/>
          <w:lang w:val="uk-UA"/>
        </w:rPr>
        <w:t>________</w:t>
      </w:r>
      <w:r w:rsidR="00E11925">
        <w:rPr>
          <w:b/>
          <w:sz w:val="28"/>
          <w:szCs w:val="28"/>
          <w:lang w:val="uk-UA"/>
        </w:rPr>
        <w:t xml:space="preserve"> 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610077">
        <w:rPr>
          <w:b/>
          <w:sz w:val="28"/>
          <w:szCs w:val="28"/>
          <w:lang w:val="uk-UA"/>
        </w:rPr>
        <w:t>4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ED3870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</w:p>
    <w:p w:rsidR="003E2927" w:rsidRPr="005D69D7" w:rsidRDefault="00B30CD8" w:rsidP="0095746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810F4"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="009810F4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23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року</w:t>
      </w:r>
    </w:p>
    <w:p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:rsidR="001D3F27" w:rsidRPr="004A066D" w:rsidRDefault="001D3F27" w:rsidP="001D3F27">
      <w:pPr>
        <w:rPr>
          <w:sz w:val="20"/>
          <w:szCs w:val="20"/>
          <w:lang w:val="uk-UA"/>
        </w:rPr>
      </w:pPr>
    </w:p>
    <w:p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5E1B1D">
        <w:rPr>
          <w:sz w:val="28"/>
          <w:szCs w:val="28"/>
          <w:lang w:val="uk-UA"/>
        </w:rPr>
        <w:t>виконання зобов</w:t>
      </w:r>
      <w:r w:rsidR="005E1B1D" w:rsidRPr="005E1B1D">
        <w:rPr>
          <w:sz w:val="28"/>
          <w:szCs w:val="28"/>
          <w:lang w:val="uk-UA"/>
        </w:rPr>
        <w:t>’</w:t>
      </w:r>
      <w:r w:rsidR="005E1B1D">
        <w:rPr>
          <w:sz w:val="28"/>
          <w:szCs w:val="28"/>
          <w:lang w:val="uk-UA"/>
        </w:rPr>
        <w:t xml:space="preserve">язань та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5E1B1D">
        <w:rPr>
          <w:sz w:val="28"/>
          <w:szCs w:val="28"/>
          <w:lang w:val="uk-UA"/>
        </w:rPr>
        <w:t xml:space="preserve">                             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A04487">
        <w:rPr>
          <w:sz w:val="28"/>
          <w:szCs w:val="28"/>
          <w:lang w:val="uk-UA"/>
        </w:rPr>
        <w:t xml:space="preserve">Розділ ІІІ. Заходи </w:t>
      </w:r>
      <w:r w:rsidR="00112C43">
        <w:rPr>
          <w:sz w:val="28"/>
          <w:szCs w:val="28"/>
          <w:lang w:val="uk-UA"/>
        </w:rPr>
        <w:t>забезпечен</w:t>
      </w:r>
      <w:r w:rsidR="007B7D56">
        <w:rPr>
          <w:sz w:val="28"/>
          <w:szCs w:val="28"/>
          <w:lang w:val="uk-UA"/>
        </w:rPr>
        <w:t>ня виконання Програми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:rsidR="003839FF" w:rsidRDefault="00946EC4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 xml:space="preserve">Додаток </w:t>
      </w:r>
      <w:r w:rsidR="003742C2">
        <w:rPr>
          <w:sz w:val="28"/>
          <w:szCs w:val="28"/>
          <w:lang w:val="uk-UA"/>
        </w:rPr>
        <w:t>1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 xml:space="preserve">ток </w:t>
      </w:r>
      <w:r w:rsidR="001F507C">
        <w:rPr>
          <w:sz w:val="28"/>
          <w:szCs w:val="28"/>
          <w:lang w:val="uk-UA"/>
        </w:rPr>
        <w:t>3</w:t>
      </w:r>
      <w:r w:rsidR="00730B8A">
        <w:rPr>
          <w:sz w:val="28"/>
          <w:szCs w:val="28"/>
          <w:lang w:val="uk-UA"/>
        </w:rPr>
        <w:t>)</w:t>
      </w:r>
      <w:r w:rsidR="008B64F7">
        <w:rPr>
          <w:sz w:val="28"/>
          <w:szCs w:val="28"/>
          <w:lang w:val="uk-UA"/>
        </w:rPr>
        <w:t>.</w:t>
      </w:r>
    </w:p>
    <w:p w:rsidR="003742C2" w:rsidRDefault="003742C2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3742C2" w:rsidRDefault="003742C2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74515B" w:rsidRDefault="0074515B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3742C2" w:rsidRDefault="0074515B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Вважати таким, що втратило чинність </w:t>
      </w:r>
      <w:r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>01 березня</w:t>
      </w:r>
      <w:r w:rsidRPr="00A6445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4 </w:t>
      </w:r>
      <w:r w:rsidRPr="00A644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внесення змін до рішення </w:t>
      </w:r>
      <w:r w:rsidRPr="00A64455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 від 23 листопада 2021 року «Про </w:t>
      </w:r>
      <w:r w:rsidRPr="00A64455">
        <w:rPr>
          <w:sz w:val="28"/>
          <w:szCs w:val="28"/>
          <w:lang w:val="uk-UA"/>
        </w:rPr>
        <w:t>затвердження Програми з</w:t>
      </w:r>
      <w:r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>-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на 2022-2024 роки»</w:t>
      </w:r>
      <w:r w:rsidR="0029007D">
        <w:rPr>
          <w:sz w:val="28"/>
          <w:szCs w:val="28"/>
          <w:bdr w:val="none" w:sz="0" w:space="0" w:color="auto" w:frame="1"/>
          <w:lang w:val="uk-UA"/>
        </w:rPr>
        <w:t>.</w:t>
      </w:r>
    </w:p>
    <w:p w:rsidR="00EA7739" w:rsidRPr="004A066D" w:rsidRDefault="00C32721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CD8" w:rsidRPr="0074515B">
        <w:rPr>
          <w:sz w:val="28"/>
          <w:szCs w:val="28"/>
          <w:lang w:val="uk-UA"/>
        </w:rPr>
        <w:t xml:space="preserve">      </w:t>
      </w:r>
      <w:r w:rsidR="0074515B">
        <w:rPr>
          <w:sz w:val="28"/>
          <w:szCs w:val="28"/>
          <w:lang w:val="uk-UA"/>
        </w:rPr>
        <w:t>3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515B">
        <w:rPr>
          <w:sz w:val="28"/>
          <w:szCs w:val="28"/>
          <w:lang w:val="uk-UA"/>
        </w:rPr>
        <w:t>4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</w:t>
      </w:r>
      <w:r w:rsidR="0029007D">
        <w:rPr>
          <w:sz w:val="28"/>
          <w:szCs w:val="28"/>
          <w:lang w:val="uk-UA"/>
        </w:rPr>
        <w:t> </w:t>
      </w:r>
      <w:r w:rsidR="00E07898" w:rsidRPr="004A066D">
        <w:rPr>
          <w:sz w:val="28"/>
          <w:szCs w:val="28"/>
          <w:lang w:val="uk-UA"/>
        </w:rPr>
        <w:t>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D01C15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B30CD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36D2"/>
    <w:rsid w:val="000751E6"/>
    <w:rsid w:val="000944D7"/>
    <w:rsid w:val="00097F13"/>
    <w:rsid w:val="000B44BB"/>
    <w:rsid w:val="000C0609"/>
    <w:rsid w:val="000C2EEE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B39D0"/>
    <w:rsid w:val="001B5D41"/>
    <w:rsid w:val="001B5E6C"/>
    <w:rsid w:val="001B7A04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007D"/>
    <w:rsid w:val="00297512"/>
    <w:rsid w:val="002A3F15"/>
    <w:rsid w:val="002B02C5"/>
    <w:rsid w:val="002B0CD9"/>
    <w:rsid w:val="002B7CB3"/>
    <w:rsid w:val="002C285C"/>
    <w:rsid w:val="002C4E5B"/>
    <w:rsid w:val="002D0AE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A75D0"/>
    <w:rsid w:val="005B399C"/>
    <w:rsid w:val="005B7325"/>
    <w:rsid w:val="005C1DD3"/>
    <w:rsid w:val="005C3B6C"/>
    <w:rsid w:val="005D69D7"/>
    <w:rsid w:val="005E1B1D"/>
    <w:rsid w:val="005F2E0E"/>
    <w:rsid w:val="005F5BB8"/>
    <w:rsid w:val="00610077"/>
    <w:rsid w:val="006210D5"/>
    <w:rsid w:val="00642FFB"/>
    <w:rsid w:val="006463AF"/>
    <w:rsid w:val="006725B6"/>
    <w:rsid w:val="006733C1"/>
    <w:rsid w:val="006A74BE"/>
    <w:rsid w:val="007179CD"/>
    <w:rsid w:val="00730B8A"/>
    <w:rsid w:val="007314EB"/>
    <w:rsid w:val="0074515B"/>
    <w:rsid w:val="0077406B"/>
    <w:rsid w:val="007762D1"/>
    <w:rsid w:val="0078427B"/>
    <w:rsid w:val="00784381"/>
    <w:rsid w:val="007858D9"/>
    <w:rsid w:val="007B1C5C"/>
    <w:rsid w:val="007B7D56"/>
    <w:rsid w:val="007C1898"/>
    <w:rsid w:val="007C38F9"/>
    <w:rsid w:val="007D2627"/>
    <w:rsid w:val="007D28E5"/>
    <w:rsid w:val="007E6B63"/>
    <w:rsid w:val="007F6762"/>
    <w:rsid w:val="00845208"/>
    <w:rsid w:val="00893787"/>
    <w:rsid w:val="008973C0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A06BB"/>
    <w:rsid w:val="009A25D1"/>
    <w:rsid w:val="009C3796"/>
    <w:rsid w:val="009E223C"/>
    <w:rsid w:val="009E7B00"/>
    <w:rsid w:val="009F5E28"/>
    <w:rsid w:val="00A01A99"/>
    <w:rsid w:val="00A04487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CDD"/>
    <w:rsid w:val="00C46588"/>
    <w:rsid w:val="00C64A74"/>
    <w:rsid w:val="00C6784D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213F9"/>
    <w:rsid w:val="00D4038B"/>
    <w:rsid w:val="00D40E3B"/>
    <w:rsid w:val="00D6145C"/>
    <w:rsid w:val="00D62C68"/>
    <w:rsid w:val="00DA6E11"/>
    <w:rsid w:val="00DD2106"/>
    <w:rsid w:val="00DD65AB"/>
    <w:rsid w:val="00DF3714"/>
    <w:rsid w:val="00E00A0F"/>
    <w:rsid w:val="00E07898"/>
    <w:rsid w:val="00E11925"/>
    <w:rsid w:val="00E11BC9"/>
    <w:rsid w:val="00E146D2"/>
    <w:rsid w:val="00E61673"/>
    <w:rsid w:val="00E65977"/>
    <w:rsid w:val="00E768DE"/>
    <w:rsid w:val="00EA36BF"/>
    <w:rsid w:val="00EA7739"/>
    <w:rsid w:val="00EB049C"/>
    <w:rsid w:val="00EB3009"/>
    <w:rsid w:val="00EB41C0"/>
    <w:rsid w:val="00ED3870"/>
    <w:rsid w:val="00EE209F"/>
    <w:rsid w:val="00F06640"/>
    <w:rsid w:val="00F22A4A"/>
    <w:rsid w:val="00F50B71"/>
    <w:rsid w:val="00F55365"/>
    <w:rsid w:val="00F62330"/>
    <w:rsid w:val="00F67627"/>
    <w:rsid w:val="00F7038D"/>
    <w:rsid w:val="00FC5044"/>
    <w:rsid w:val="00FE34F0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860C-946F-45C1-A600-0E8D1BB1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5</cp:revision>
  <cp:lastPrinted>2024-03-04T08:28:00Z</cp:lastPrinted>
  <dcterms:created xsi:type="dcterms:W3CDTF">2024-04-22T13:37:00Z</dcterms:created>
  <dcterms:modified xsi:type="dcterms:W3CDTF">2024-04-23T13:26:00Z</dcterms:modified>
</cp:coreProperties>
</file>