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F9" w:rsidRDefault="00D60BF9" w:rsidP="005E4B3B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5E4B3B" w:rsidRPr="005E4B3B" w:rsidRDefault="005E4B3B" w:rsidP="005E4B3B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2DED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3A665C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3A665C">
        <w:rPr>
          <w:rFonts w:ascii="Times New Roman" w:hAnsi="Times New Roman" w:cs="Times New Roman"/>
          <w:b/>
          <w:sz w:val="28"/>
          <w:szCs w:val="28"/>
        </w:rPr>
        <w:t xml:space="preserve"> рішення Кременчуцької міської ради </w:t>
      </w:r>
    </w:p>
    <w:p w:rsidR="00CE2DED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 xml:space="preserve">Кременчуцького району Полтавської області </w:t>
      </w:r>
    </w:p>
    <w:p w:rsidR="00F203FB" w:rsidRPr="00F203FB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>«Про внесення змін до рішення</w:t>
      </w:r>
      <w:r w:rsidR="00CE2D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665C">
        <w:rPr>
          <w:rFonts w:ascii="Times New Roman" w:hAnsi="Times New Roman" w:cs="Times New Roman"/>
          <w:b/>
          <w:sz w:val="28"/>
          <w:szCs w:val="28"/>
        </w:rPr>
        <w:t>Кременчуцької міської ради Кременчуцького району Полтавської області від 23 листопада 2021 року «Про затвердження Програми забезпечення діяльності та утримання</w:t>
      </w:r>
      <w:r w:rsidR="00F203FB">
        <w:rPr>
          <w:rFonts w:ascii="Times New Roman" w:hAnsi="Times New Roman" w:cs="Times New Roman"/>
          <w:b/>
          <w:sz w:val="28"/>
          <w:szCs w:val="28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в</w:t>
      </w:r>
      <w:r w:rsidR="00F203FB">
        <w:rPr>
          <w:rFonts w:ascii="Times New Roman" w:hAnsi="Times New Roman" w:cs="Times New Roman"/>
          <w:b/>
          <w:sz w:val="28"/>
          <w:szCs w:val="28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належному</w:t>
      </w:r>
      <w:r w:rsidR="00F203FB">
        <w:rPr>
          <w:rFonts w:ascii="Times New Roman" w:hAnsi="Times New Roman" w:cs="Times New Roman"/>
          <w:b/>
          <w:sz w:val="28"/>
          <w:szCs w:val="28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стані</w:t>
      </w:r>
      <w:r w:rsidR="00F203F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матеріально</w:t>
      </w:r>
      <w:r w:rsidR="00F203F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F203FB">
        <w:rPr>
          <w:rFonts w:ascii="Times New Roman" w:hAnsi="Times New Roman" w:cs="Times New Roman"/>
          <w:b/>
          <w:sz w:val="28"/>
          <w:szCs w:val="28"/>
        </w:rPr>
        <w:t>–</w:t>
      </w:r>
      <w:r w:rsidRPr="003A665C">
        <w:rPr>
          <w:rFonts w:ascii="Times New Roman" w:hAnsi="Times New Roman" w:cs="Times New Roman"/>
          <w:b/>
          <w:sz w:val="28"/>
          <w:szCs w:val="28"/>
        </w:rPr>
        <w:t>технічної</w:t>
      </w:r>
      <w:r w:rsidR="00F203F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бази</w:t>
      </w:r>
    </w:p>
    <w:p w:rsidR="00D60BF9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>КП «КОМФОРТНИЙ ДІМ» на 2022 - 2024 роки</w:t>
      </w:r>
      <w:r w:rsidR="00133C9C" w:rsidRPr="003A665C">
        <w:rPr>
          <w:rFonts w:ascii="Times New Roman" w:hAnsi="Times New Roman" w:cs="Times New Roman"/>
          <w:b/>
          <w:sz w:val="28"/>
          <w:szCs w:val="28"/>
        </w:rPr>
        <w:t>»</w:t>
      </w:r>
    </w:p>
    <w:p w:rsidR="005E4B3B" w:rsidRPr="003A665C" w:rsidRDefault="005E4B3B" w:rsidP="005E4B3B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67B" w:rsidRPr="0047167B" w:rsidRDefault="003C6673" w:rsidP="00F33701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C41A0">
        <w:rPr>
          <w:rFonts w:ascii="Times New Roman" w:hAnsi="Times New Roman" w:cs="Times New Roman"/>
          <w:sz w:val="28"/>
          <w:szCs w:val="28"/>
        </w:rPr>
        <w:t xml:space="preserve">Комунальне  підприємство </w:t>
      </w:r>
      <w:r w:rsidR="002C04D0">
        <w:rPr>
          <w:rFonts w:ascii="Times New Roman" w:hAnsi="Times New Roman" w:cs="Times New Roman"/>
          <w:sz w:val="28"/>
          <w:szCs w:val="28"/>
        </w:rPr>
        <w:t>«</w:t>
      </w:r>
      <w:r w:rsidRPr="001C41A0">
        <w:rPr>
          <w:rFonts w:ascii="Times New Roman" w:hAnsi="Times New Roman" w:cs="Times New Roman"/>
          <w:sz w:val="28"/>
          <w:szCs w:val="28"/>
        </w:rPr>
        <w:t>КОМФОРТНИЙ ДІМ</w:t>
      </w:r>
      <w:r w:rsidR="002C04D0">
        <w:rPr>
          <w:rFonts w:ascii="Times New Roman" w:hAnsi="Times New Roman" w:cs="Times New Roman"/>
          <w:sz w:val="28"/>
          <w:szCs w:val="28"/>
        </w:rPr>
        <w:t>»</w:t>
      </w:r>
      <w:r w:rsidRPr="001C41A0">
        <w:rPr>
          <w:rFonts w:ascii="Times New Roman" w:hAnsi="Times New Roman" w:cs="Times New Roman"/>
          <w:sz w:val="28"/>
          <w:szCs w:val="28"/>
        </w:rPr>
        <w:t xml:space="preserve"> Кременчуцької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A0">
        <w:rPr>
          <w:rFonts w:ascii="Times New Roman" w:hAnsi="Times New Roman" w:cs="Times New Roman"/>
          <w:sz w:val="28"/>
          <w:szCs w:val="28"/>
        </w:rPr>
        <w:t xml:space="preserve">міської ради Кременчуцького району Полтавської області </w:t>
      </w:r>
      <w:r w:rsidR="00BC3EF4" w:rsidRPr="00024EF5">
        <w:rPr>
          <w:rFonts w:ascii="Times New Roman" w:eastAsia="Times New Roman" w:hAnsi="Times New Roman" w:cs="Times New Roman"/>
          <w:sz w:val="28"/>
          <w:szCs w:val="28"/>
        </w:rPr>
        <w:t>продовжує</w:t>
      </w:r>
      <w:r w:rsidR="00287CF0">
        <w:rPr>
          <w:rFonts w:ascii="Times New Roman" w:eastAsia="Times New Roman" w:hAnsi="Times New Roman" w:cs="Times New Roman"/>
          <w:sz w:val="28"/>
          <w:szCs w:val="28"/>
        </w:rPr>
        <w:t xml:space="preserve"> викон</w:t>
      </w:r>
      <w:r w:rsidR="00243AF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="00287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CF0" w:rsidRPr="00287CF0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ED34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87CF0" w:rsidRPr="00287CF0">
        <w:rPr>
          <w:rFonts w:ascii="Times New Roman" w:eastAsia="Times New Roman" w:hAnsi="Times New Roman" w:cs="Times New Roman"/>
          <w:sz w:val="28"/>
          <w:szCs w:val="28"/>
        </w:rPr>
        <w:t xml:space="preserve"> забезпечення діяльності та утримання в належному стані </w:t>
      </w:r>
      <w:r w:rsidR="00042B39" w:rsidRPr="00042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CF0" w:rsidRPr="00287CF0">
        <w:rPr>
          <w:rFonts w:ascii="Times New Roman" w:eastAsia="Times New Roman" w:hAnsi="Times New Roman" w:cs="Times New Roman"/>
          <w:sz w:val="28"/>
          <w:szCs w:val="28"/>
        </w:rPr>
        <w:t>матеріально</w:t>
      </w:r>
      <w:r w:rsidR="00733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B39" w:rsidRPr="00042B3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7CF0" w:rsidRPr="00287CF0">
        <w:rPr>
          <w:rFonts w:ascii="Times New Roman" w:eastAsia="Times New Roman" w:hAnsi="Times New Roman" w:cs="Times New Roman"/>
          <w:sz w:val="28"/>
          <w:szCs w:val="28"/>
        </w:rPr>
        <w:t>технічної бази</w:t>
      </w:r>
      <w:r w:rsidR="00287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CF0" w:rsidRPr="00287CF0">
        <w:rPr>
          <w:rFonts w:ascii="Times New Roman" w:eastAsia="Times New Roman" w:hAnsi="Times New Roman" w:cs="Times New Roman"/>
          <w:sz w:val="28"/>
          <w:szCs w:val="28"/>
        </w:rPr>
        <w:t>КП «КОМФОРТНИЙ ДІМ» на 2022 - 2024 роки</w:t>
      </w:r>
      <w:r w:rsidR="00243AF8">
        <w:rPr>
          <w:rFonts w:ascii="Times New Roman" w:eastAsia="Times New Roman" w:hAnsi="Times New Roman" w:cs="Times New Roman"/>
          <w:sz w:val="28"/>
          <w:szCs w:val="28"/>
        </w:rPr>
        <w:t xml:space="preserve"> та по</w:t>
      </w:r>
      <w:r w:rsidR="00CB1EA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43AF8">
        <w:rPr>
          <w:rFonts w:ascii="Times New Roman" w:eastAsia="Times New Roman" w:hAnsi="Times New Roman" w:cs="Times New Roman"/>
          <w:sz w:val="28"/>
          <w:szCs w:val="28"/>
        </w:rPr>
        <w:t xml:space="preserve">ребує доповнити її такими заходами: </w:t>
      </w:r>
      <w:r w:rsidR="00F33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87485" w:rsidRDefault="00243AF8" w:rsidP="00E87485">
      <w:pPr>
        <w:pStyle w:val="a4"/>
        <w:numPr>
          <w:ilvl w:val="0"/>
          <w:numId w:val="6"/>
        </w:numPr>
        <w:shd w:val="clear" w:color="auto" w:fill="FFFFFF"/>
        <w:tabs>
          <w:tab w:val="left" w:pos="547"/>
          <w:tab w:val="left" w:pos="851"/>
        </w:tabs>
        <w:spacing w:after="0" w:line="240" w:lineRule="auto"/>
        <w:ind w:left="0" w:firstLine="57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Поточний ремонт машинного відділення каналізаційної насосної станції за адресою: вулиця Калинова, </w:t>
      </w:r>
      <w:r w:rsidRPr="00E87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будинок 5А в </w:t>
      </w:r>
      <w:r w:rsidRPr="00E8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селі Потоки Кременчуцького району Полтавської області, </w:t>
      </w:r>
      <w:r w:rsidR="002C0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</w:t>
      </w:r>
      <w:r w:rsidR="002C04D0" w:rsidRP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042B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рієнтовним</w:t>
      </w:r>
      <w:r w:rsidR="002C04D0" w:rsidRP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обсяг</w:t>
      </w:r>
      <w:r w:rsidR="00042B39" w:rsidRPr="00042B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</w:t>
      </w:r>
      <w:r w:rsidR="002C04D0" w:rsidRP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фінансування</w:t>
      </w:r>
      <w:r w:rsidR="002C04D0" w:rsidRPr="002C0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C0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E8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150 000,00 грн. </w:t>
      </w:r>
      <w:r w:rsidR="00E8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</w:p>
    <w:p w:rsidR="00E87485" w:rsidRPr="00E87485" w:rsidRDefault="00E87485" w:rsidP="00E87485">
      <w:pPr>
        <w:pStyle w:val="a4"/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4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метою недопущення (запобігання) можливого затоплення машинного відділення </w:t>
      </w:r>
      <w:r w:rsidRPr="00E8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каналізаційної насосної станції </w:t>
      </w:r>
      <w:r w:rsidRPr="00E874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підняття </w:t>
      </w:r>
      <w:proofErr w:type="spellStart"/>
      <w:r w:rsidRPr="00E87485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грунтових</w:t>
      </w:r>
      <w:proofErr w:type="spellEnd"/>
      <w:r w:rsidRPr="00E874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вод, для забезпечення безперебійної роботи та</w:t>
      </w:r>
      <w:r w:rsidRPr="00E87485">
        <w:rPr>
          <w:rFonts w:ascii="Times New Roman" w:eastAsia="Times New Roman" w:hAnsi="Times New Roman" w:cs="Times New Roman"/>
          <w:sz w:val="28"/>
          <w:szCs w:val="28"/>
        </w:rPr>
        <w:t xml:space="preserve"> надійної експлуатації самої споруди, а також обладнання та механізмів, задіяних в роботі каналізаційної насосної станції, дотримання вимог нормативних актів з охорони праці, виникла нагальна потреба в проведенні ремонтних робіт в машинному відділенні, а саме: </w:t>
      </w:r>
    </w:p>
    <w:p w:rsidR="00E87485" w:rsidRPr="001642E6" w:rsidRDefault="00733700" w:rsidP="00E87485">
      <w:pPr>
        <w:pStyle w:val="a4"/>
        <w:numPr>
          <w:ilvl w:val="0"/>
          <w:numId w:val="7"/>
        </w:numPr>
        <w:spacing w:after="0" w:line="20" w:lineRule="atLeast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485" w:rsidRPr="001642E6">
        <w:rPr>
          <w:rFonts w:ascii="Times New Roman" w:eastAsia="Times New Roman" w:hAnsi="Times New Roman" w:cs="Times New Roman"/>
          <w:sz w:val="28"/>
          <w:szCs w:val="28"/>
        </w:rPr>
        <w:t>шліфування бетонних покриттів;</w:t>
      </w:r>
    </w:p>
    <w:p w:rsidR="00E87485" w:rsidRPr="001642E6" w:rsidRDefault="00733700" w:rsidP="00E87485">
      <w:pPr>
        <w:pStyle w:val="a4"/>
        <w:numPr>
          <w:ilvl w:val="0"/>
          <w:numId w:val="7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485" w:rsidRPr="001642E6">
        <w:rPr>
          <w:rFonts w:ascii="Times New Roman" w:eastAsia="Times New Roman" w:hAnsi="Times New Roman" w:cs="Times New Roman"/>
          <w:sz w:val="28"/>
          <w:szCs w:val="28"/>
        </w:rPr>
        <w:t>пробивання отворів в залізобетонних колодязях та улаштування монолітного днища колодязів;</w:t>
      </w:r>
    </w:p>
    <w:p w:rsidR="00E87485" w:rsidRPr="001642E6" w:rsidRDefault="00733700" w:rsidP="00E87485">
      <w:pPr>
        <w:pStyle w:val="a4"/>
        <w:numPr>
          <w:ilvl w:val="0"/>
          <w:numId w:val="7"/>
        </w:numPr>
        <w:spacing w:after="0" w:line="20" w:lineRule="atLeast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248">
        <w:rPr>
          <w:rFonts w:ascii="Times New Roman" w:eastAsia="Times New Roman" w:hAnsi="Times New Roman" w:cs="Times New Roman"/>
          <w:sz w:val="28"/>
          <w:szCs w:val="28"/>
        </w:rPr>
        <w:t>гідроізоляція</w:t>
      </w:r>
      <w:r w:rsidR="00E87485" w:rsidRPr="001642E6">
        <w:rPr>
          <w:rFonts w:ascii="Times New Roman" w:eastAsia="Times New Roman" w:hAnsi="Times New Roman" w:cs="Times New Roman"/>
          <w:sz w:val="28"/>
          <w:szCs w:val="28"/>
        </w:rPr>
        <w:t xml:space="preserve"> стін;</w:t>
      </w:r>
    </w:p>
    <w:p w:rsidR="00E87485" w:rsidRDefault="00733700" w:rsidP="00E87485">
      <w:pPr>
        <w:pStyle w:val="a4"/>
        <w:numPr>
          <w:ilvl w:val="0"/>
          <w:numId w:val="7"/>
        </w:numPr>
        <w:spacing w:after="0" w:line="20" w:lineRule="atLeast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485" w:rsidRPr="001642E6">
        <w:rPr>
          <w:rFonts w:ascii="Times New Roman" w:eastAsia="Times New Roman" w:hAnsi="Times New Roman" w:cs="Times New Roman"/>
          <w:sz w:val="28"/>
          <w:szCs w:val="28"/>
        </w:rPr>
        <w:t>свердлення отворів в залізобетонних конструкціях.</w:t>
      </w:r>
    </w:p>
    <w:p w:rsidR="00D90D09" w:rsidRDefault="00243AF8" w:rsidP="002C04D0">
      <w:pPr>
        <w:shd w:val="clear" w:color="auto" w:fill="FFFFFF"/>
        <w:tabs>
          <w:tab w:val="left" w:pos="567"/>
          <w:tab w:val="left" w:pos="70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2. </w:t>
      </w:r>
      <w:r w:rsidRPr="0024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матеріалів для ремонту водопровідних мереж в селі Потоки </w:t>
      </w:r>
      <w:r w:rsidRPr="00243AF8">
        <w:rPr>
          <w:rFonts w:ascii="Times New Roman" w:eastAsia="Calibri" w:hAnsi="Times New Roman" w:cs="Times New Roman"/>
          <w:sz w:val="28"/>
          <w:szCs w:val="28"/>
          <w:lang w:eastAsia="en-US"/>
        </w:rPr>
        <w:t>Кременчуцького району Полтавської області</w:t>
      </w:r>
      <w:r w:rsidR="002C0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D90D09">
        <w:rPr>
          <w:rFonts w:ascii="Times New Roman" w:eastAsia="Calibri" w:hAnsi="Times New Roman" w:cs="Times New Roman"/>
          <w:sz w:val="28"/>
          <w:szCs w:val="28"/>
          <w:lang w:eastAsia="en-US"/>
        </w:rPr>
        <w:t>чотири крани сталеві кульові різних діаметрів</w:t>
      </w:r>
      <w:r w:rsidR="002C04D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90D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C0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</w:t>
      </w:r>
      <w:r w:rsidR="002C04D0" w:rsidRP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рієнтовними</w:t>
      </w:r>
      <w:r w:rsidR="002C04D0" w:rsidRP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обсяг</w:t>
      </w:r>
      <w:r w:rsid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ам</w:t>
      </w:r>
      <w:r w:rsidR="002C04D0" w:rsidRP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фінансування</w:t>
      </w:r>
      <w:r w:rsidR="002C04D0" w:rsidRPr="002C0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7485">
        <w:rPr>
          <w:rFonts w:ascii="Times New Roman" w:eastAsia="Calibri" w:hAnsi="Times New Roman" w:cs="Times New Roman"/>
          <w:sz w:val="28"/>
          <w:szCs w:val="28"/>
          <w:lang w:eastAsia="en-US"/>
        </w:rPr>
        <w:t>30 000,00 грн</w:t>
      </w:r>
      <w:r w:rsidRPr="00243A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87485" w:rsidRPr="00E87485">
        <w:t xml:space="preserve"> </w:t>
      </w:r>
      <w:r w:rsidR="00E8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0D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243AF8" w:rsidRPr="00243AF8" w:rsidRDefault="00D90D09" w:rsidP="00D90D09">
      <w:pPr>
        <w:shd w:val="clear" w:color="auto" w:fill="FFFFFF"/>
        <w:tabs>
          <w:tab w:val="left" w:pos="70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Встановлення кранів</w:t>
      </w:r>
      <w:r w:rsidR="00E8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7485" w:rsidRPr="00E8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дасть можливість забезпечити надійне перекриття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проблемних</w:t>
      </w:r>
      <w:r w:rsidR="00E87485" w:rsidRPr="00E8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ділянок, зменшити кількість витоків та кількість </w:t>
      </w:r>
      <w:r w:rsidR="00042B39" w:rsidRPr="00042B39">
        <w:rPr>
          <w:rFonts w:ascii="Times New Roman" w:eastAsia="Calibri" w:hAnsi="Times New Roman" w:cs="Times New Roman"/>
          <w:sz w:val="28"/>
          <w:szCs w:val="28"/>
          <w:lang w:eastAsia="en-US"/>
        </w:rPr>
        <w:t>абонент</w:t>
      </w:r>
      <w:r w:rsidR="00042B39">
        <w:rPr>
          <w:rFonts w:ascii="Times New Roman" w:eastAsia="Calibri" w:hAnsi="Times New Roman" w:cs="Times New Roman"/>
          <w:sz w:val="28"/>
          <w:szCs w:val="28"/>
          <w:lang w:eastAsia="en-US"/>
        </w:rPr>
        <w:t>ів, які</w:t>
      </w:r>
      <w:r w:rsidR="00E87485" w:rsidRPr="00E8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потрапляють під відключення на час проведення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планових ремонтних або </w:t>
      </w:r>
      <w:r w:rsidR="00E87485" w:rsidRPr="00E87485">
        <w:rPr>
          <w:rFonts w:ascii="Times New Roman" w:eastAsia="Calibri" w:hAnsi="Times New Roman" w:cs="Times New Roman"/>
          <w:sz w:val="28"/>
          <w:szCs w:val="28"/>
          <w:lang w:eastAsia="en-US"/>
        </w:rPr>
        <w:t>аварійних робіт, зменшить ризик забруднення оточуючого природного середовища стічними водами.</w:t>
      </w:r>
    </w:p>
    <w:p w:rsidR="00243AF8" w:rsidRPr="00354799" w:rsidRDefault="00E87485" w:rsidP="00243A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3</w:t>
      </w:r>
      <w:r w:rsidR="00243AF8" w:rsidRPr="0035479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3370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354799" w:rsidRPr="00354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Придбання матеріалів для вимощення та захисту від розмивання </w:t>
      </w:r>
      <w:r w:rsidR="00354799" w:rsidRPr="00354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фундаментів навколо будівель та споруд, які обліковуються на балансі </w:t>
      </w:r>
      <w:r w:rsidR="00042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354799" w:rsidRPr="00354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КП «КОМФОРТНИЙ ДІМ»</w:t>
      </w:r>
      <w:r w:rsidRPr="00354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354799" w:rsidRPr="00354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</w:t>
      </w:r>
      <w:r w:rsidR="00354799" w:rsidRPr="003547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орієнтовними обсягами фінансування</w:t>
      </w:r>
      <w:r w:rsidR="00354799" w:rsidRPr="00354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сумі </w:t>
      </w:r>
      <w:r w:rsidR="005A7907" w:rsidRPr="00354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49</w:t>
      </w:r>
      <w:r w:rsidRPr="00354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 000,00 грн. Для виконання цього заходу планується придбання </w:t>
      </w:r>
      <w:r w:rsidR="00243AF8" w:rsidRPr="00354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матеріалів, </w:t>
      </w:r>
      <w:r w:rsidR="00354799" w:rsidRPr="00354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необхідних для проведення ремонтних робіт господарським способом </w:t>
      </w:r>
      <w:r w:rsidRPr="00354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(щебінь, пісок, цемент, дошки для опалубки, сітка </w:t>
      </w:r>
      <w:proofErr w:type="spellStart"/>
      <w:r w:rsidRPr="00354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армувальна</w:t>
      </w:r>
      <w:proofErr w:type="spellEnd"/>
      <w:r w:rsidRPr="00354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стяжки тощо)</w:t>
      </w:r>
      <w:r w:rsidR="00354799" w:rsidRPr="00354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869A4" w:rsidRDefault="00E87485" w:rsidP="00EA324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43B9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</w:t>
      </w:r>
      <w:r w:rsidR="00243AF8" w:rsidRPr="00543B9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33700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243AF8" w:rsidRPr="00243A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Облаштування вузла обліку електричної енергії на об’єкті </w:t>
      </w:r>
      <w:r w:rsidR="00243AF8" w:rsidRPr="00243A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вулиці Пилипа Орлика</w:t>
      </w:r>
      <w:r w:rsidR="00AA1C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будинок 1А</w:t>
      </w:r>
      <w:r w:rsidR="00243AF8" w:rsidRPr="00243A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селі Потоки Кременчуцького району Полтавської області</w:t>
      </w:r>
      <w:r w:rsidR="007771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="00543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</w:t>
      </w:r>
      <w:r w:rsidR="00543B91" w:rsidRP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543B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рієнтовними</w:t>
      </w:r>
      <w:r w:rsidR="00543B91" w:rsidRP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обсяг</w:t>
      </w:r>
      <w:r w:rsidR="00543B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ам</w:t>
      </w:r>
      <w:r w:rsidR="00543B91" w:rsidRP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фінансування</w:t>
      </w:r>
      <w:r w:rsidR="00543B91" w:rsidRPr="002C0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71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суму 5 500,00 грн. </w:t>
      </w:r>
    </w:p>
    <w:p w:rsidR="00243AF8" w:rsidRPr="00243AF8" w:rsidRDefault="00D869A4" w:rsidP="00EA324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</w:t>
      </w:r>
      <w:r w:rsidR="007337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метою належної експлуатації електроустановок п</w:t>
      </w:r>
      <w:r w:rsidR="006117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ланується придбати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шафу обліку</w:t>
      </w:r>
      <w:r w:rsidR="00ED34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автоматичний вимикач, кабельну продукцію </w:t>
      </w:r>
      <w:r w:rsidR="006117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обладнати</w:t>
      </w:r>
      <w:r w:rsidR="006117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власними силами відповідно д</w:t>
      </w:r>
      <w:r w:rsidR="00475A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6117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75A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Правил улаштування електроустановок (ПУЕ)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місце встановлення лічильника електричної енергії.</w:t>
      </w:r>
      <w:r w:rsidR="00D90D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="007771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243AF8" w:rsidRDefault="00543B91" w:rsidP="00EA3248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="00243AF8" w:rsidRPr="00243A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 Внески до статутного капіталу КП «КОМФОРТНИЙ ДІМ» на придбання електродвигунів  асинхронних трифазних для встановлення в приміщенні водо-насосної станції ІІ підйому за адресою:  вулиця Миру, будинок 16, село Потоки Кременчуцького району Полтавської області</w:t>
      </w:r>
      <w:r w:rsidR="00D869A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кількості 2 одиниц</w:t>
      </w:r>
      <w:r w:rsidR="00042B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ь на загальну суму</w:t>
      </w:r>
      <w:r w:rsidR="00D869A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</w:t>
      </w:r>
      <w:r w:rsidRP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рієнтовними</w:t>
      </w:r>
      <w:r w:rsidRP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обсяг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ам</w:t>
      </w:r>
      <w:r w:rsidRPr="002C04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фінансування</w:t>
      </w:r>
      <w:r w:rsidRPr="002C0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69A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46</w:t>
      </w:r>
      <w:r w:rsidR="006E139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D869A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000,00 грн.</w:t>
      </w:r>
    </w:p>
    <w:p w:rsidR="00354799" w:rsidRPr="00354799" w:rsidRDefault="00354799" w:rsidP="00EA324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Обладнання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експлуатується з моменту введення в експлуатацію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водонасосної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станції, тобто близько 50 років. Відповідно, </w:t>
      </w:r>
      <w:r w:rsidR="00EA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r w:rsidRPr="003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="00042B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обладнання</w:t>
      </w:r>
      <w:proofErr w:type="spellEnd"/>
      <w:r w:rsidR="00042B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морально та </w:t>
      </w:r>
      <w:proofErr w:type="spellStart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</w:t>
      </w:r>
      <w:proofErr w:type="spellEnd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застаріло</w:t>
      </w:r>
      <w:proofErr w:type="spellEnd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не </w:t>
      </w:r>
      <w:proofErr w:type="spellStart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виконує</w:t>
      </w:r>
      <w:proofErr w:type="spellEnd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</w:t>
      </w:r>
      <w:proofErr w:type="spellEnd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функції</w:t>
      </w:r>
      <w:proofErr w:type="spellEnd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Запасні</w:t>
      </w:r>
      <w:proofErr w:type="spellEnd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частини</w:t>
      </w:r>
      <w:proofErr w:type="spellEnd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обладнання</w:t>
      </w:r>
      <w:proofErr w:type="spellEnd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відсутні</w:t>
      </w:r>
      <w:proofErr w:type="spellEnd"/>
      <w:r w:rsidRPr="0035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354799" w:rsidRDefault="00354799" w:rsidP="00EA3248">
      <w:pPr>
        <w:tabs>
          <w:tab w:val="left" w:pos="54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аміна </w:t>
      </w:r>
      <w:r w:rsidR="00543B91" w:rsidRPr="0054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застарілого та зношеного обладнання</w:t>
      </w:r>
      <w:r w:rsidR="00042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3B91" w:rsidRPr="0054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яке фа</w:t>
      </w:r>
      <w:r w:rsidR="00042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ктично відпрацювало свій ресурс,</w:t>
      </w:r>
      <w:r w:rsidR="00543B91" w:rsidRPr="0054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дозволить знизити енерговитрати</w:t>
      </w:r>
      <w:r w:rsidR="00543B91" w:rsidRPr="00543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запобігти припиненню подачі води до споживачів через вихід з ладу двигунів</w:t>
      </w:r>
      <w:r w:rsidRPr="003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підвищити надійність </w:t>
      </w:r>
      <w:r w:rsidRPr="00543B9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</w:t>
      </w:r>
      <w:r w:rsidRPr="003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об’єктів</w:t>
      </w:r>
      <w:r w:rsidRPr="0054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водопостачання</w:t>
      </w:r>
      <w:r w:rsidRPr="003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43B91" w:rsidRPr="00543B91" w:rsidRDefault="00543B91" w:rsidP="00EA32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Також, пропонується доповнити на 2024 рік обсяги фінансу</w:t>
      </w:r>
      <w:r w:rsidRPr="00543B91">
        <w:rPr>
          <w:rFonts w:ascii="Times New Roman" w:eastAsia="Calibri" w:hAnsi="Times New Roman" w:cs="Times New Roman"/>
          <w:bCs/>
          <w:sz w:val="28"/>
          <w:szCs w:val="28"/>
        </w:rPr>
        <w:t>вання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заходу Програми  «</w:t>
      </w:r>
      <w:r w:rsidRPr="00543B91">
        <w:rPr>
          <w:rFonts w:ascii="Times New Roman" w:eastAsia="Calibri" w:hAnsi="Times New Roman" w:cs="Times New Roman"/>
          <w:bCs/>
          <w:sz w:val="28"/>
          <w:szCs w:val="28"/>
        </w:rPr>
        <w:t>Оплата праці і нарахування на заробітну плату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43B9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543B91" w:rsidRDefault="00543B91" w:rsidP="00EA3248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shd w:val="clear" w:color="auto" w:fill="FFFFFF"/>
          <w:lang w:eastAsia="ru-RU"/>
        </w:rPr>
        <w:t xml:space="preserve">З метою </w:t>
      </w:r>
      <w:r w:rsidRPr="0077717E">
        <w:rPr>
          <w:rFonts w:ascii="Times New Roman" w:eastAsiaTheme="minorHAnsi" w:hAnsi="Times New Roman" w:cs="Times New Roman"/>
          <w:sz w:val="28"/>
          <w:szCs w:val="28"/>
          <w:lang w:eastAsia="ru-RU"/>
        </w:rPr>
        <w:t>створ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ення</w:t>
      </w:r>
      <w:r w:rsidRPr="0077717E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умов для забезпечення належного рівня охорони праці на робочих місцях, організації роботи механізмів та устаткування</w:t>
      </w:r>
      <w:r w:rsidR="00042B39">
        <w:rPr>
          <w:rFonts w:ascii="Times New Roman" w:eastAsiaTheme="minorHAnsi" w:hAnsi="Times New Roman" w:cs="Times New Roman"/>
          <w:sz w:val="28"/>
          <w:szCs w:val="28"/>
          <w:lang w:eastAsia="ru-RU"/>
        </w:rPr>
        <w:t>,</w:t>
      </w:r>
      <w:r w:rsidRPr="0077717E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відповідно до вимог нормативних документів з охорони праці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планується ввести до </w:t>
      </w:r>
      <w:r w:rsidRPr="0077717E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штатного розпису 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підприємства</w:t>
      </w:r>
      <w:r w:rsidRPr="0077717E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0,25 штатної одиниці посади </w:t>
      </w:r>
      <w:r w:rsidR="00042B39">
        <w:rPr>
          <w:rFonts w:ascii="Times New Roman" w:eastAsiaTheme="minorHAnsi" w:hAnsi="Times New Roman" w:cs="Times New Roman"/>
          <w:sz w:val="28"/>
          <w:szCs w:val="28"/>
          <w:lang w:eastAsia="ru-RU"/>
        </w:rPr>
        <w:t>і</w:t>
      </w:r>
      <w:r w:rsidRPr="0077717E">
        <w:rPr>
          <w:rFonts w:ascii="Times New Roman" w:eastAsiaTheme="minorHAnsi" w:hAnsi="Times New Roman" w:cs="Times New Roman"/>
          <w:sz w:val="28"/>
          <w:szCs w:val="28"/>
          <w:lang w:eastAsia="ru-RU"/>
        </w:rPr>
        <w:t>нженера з охорони праці.</w:t>
      </w:r>
    </w:p>
    <w:p w:rsidR="00543B91" w:rsidRPr="00054404" w:rsidRDefault="00543B91" w:rsidP="00EA3248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</w:pPr>
      <w:r w:rsidRPr="00054404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Орієнтовна сума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 xml:space="preserve"> потреби в обсягах фінансуванні заходу</w:t>
      </w:r>
      <w:r w:rsidRPr="00054404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 xml:space="preserve"> становить  </w:t>
      </w:r>
      <w:r w:rsidR="00042B39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 xml:space="preserve"> </w:t>
      </w:r>
      <w:r w:rsidRPr="00054404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7 4</w:t>
      </w:r>
      <w:r w:rsidRPr="00054404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00,00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 xml:space="preserve"> </w:t>
      </w:r>
      <w:r w:rsidRPr="00054404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грн, а саме:</w:t>
      </w:r>
    </w:p>
    <w:p w:rsidR="00543B91" w:rsidRPr="00733700" w:rsidRDefault="00EA3248" w:rsidP="00EA3248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 xml:space="preserve"> </w:t>
      </w:r>
      <w:r w:rsidR="00733700" w:rsidRPr="00733700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- </w:t>
      </w:r>
      <w:r w:rsidR="00543B91" w:rsidRPr="00733700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фонд оплати праці на період травень - грудень 2024 року – 30 700,00 грн;</w:t>
      </w:r>
    </w:p>
    <w:p w:rsidR="00543B91" w:rsidRPr="00054404" w:rsidRDefault="00EA3248" w:rsidP="00EA3248">
      <w:pPr>
        <w:tabs>
          <w:tab w:val="left" w:pos="0"/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ab/>
      </w:r>
      <w:r w:rsidR="00543B91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 xml:space="preserve"> - </w:t>
      </w:r>
      <w:r w:rsidR="00543B91" w:rsidRPr="00054404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 xml:space="preserve">нарахування на заробітну плату </w:t>
      </w:r>
      <w:r w:rsidR="00543B91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 xml:space="preserve">відповідно </w:t>
      </w:r>
      <w:r w:rsidR="00543B91" w:rsidRPr="00054404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 xml:space="preserve"> – </w:t>
      </w:r>
      <w:r w:rsidR="00543B91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 xml:space="preserve"> 6 700,00 </w:t>
      </w:r>
      <w:r w:rsidR="00543B91" w:rsidRPr="00054404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грн.</w:t>
      </w:r>
    </w:p>
    <w:p w:rsidR="00F203FB" w:rsidRPr="000C6766" w:rsidRDefault="00BC3EF4" w:rsidP="00EA3248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6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Враховуючи вищезазначене, </w:t>
      </w:r>
      <w:r w:rsidR="00C51735" w:rsidRPr="000C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пропонується </w:t>
      </w:r>
      <w:r w:rsidR="0071311E" w:rsidRPr="000C676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Розділ </w:t>
      </w:r>
      <w:r w:rsidR="00C51735" w:rsidRPr="000C676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ІІІ. Заход</w:t>
      </w:r>
      <w:r w:rsidR="00D60BF9" w:rsidRPr="000C676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и</w:t>
      </w:r>
      <w:r w:rsidR="00C51735" w:rsidRPr="000C676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забезпечення виконання Програми</w:t>
      </w:r>
      <w:r w:rsidR="00C51735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7B6D" w:rsidRPr="000C676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викласти </w:t>
      </w:r>
      <w:r w:rsidR="00C51735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в новій редакції</w:t>
      </w:r>
      <w:r w:rsidR="00387B6D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урахуванням внесених змін в додат</w:t>
      </w:r>
      <w:r w:rsidR="00C83A31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="00387B6D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F33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цієї Програми</w:t>
      </w:r>
      <w:r w:rsidR="004E08DE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87B6D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03FB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133C9C" w:rsidRPr="000C6766" w:rsidRDefault="00C51735" w:rsidP="00EA3248">
      <w:pPr>
        <w:tabs>
          <w:tab w:val="left" w:pos="-142"/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Таким чином, загальний обсяг фінансових ресурсів, необхідних для реалізації Програми</w:t>
      </w:r>
      <w:r w:rsidR="00EB6FBD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2024 році збільшується загалом на </w:t>
      </w:r>
      <w:r w:rsidR="005A7907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317</w:t>
      </w:r>
      <w:r w:rsidR="000C67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A7907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7F4BE0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EB6FBD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грн і становить </w:t>
      </w:r>
      <w:r w:rsidR="00EB6FBD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12 </w:t>
      </w:r>
      <w:r w:rsidR="005A7907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722</w:t>
      </w:r>
      <w:r w:rsidR="00EB6FBD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A7907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7F4BE0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B6FBD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,00 грн</w:t>
      </w:r>
      <w:r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Відповідно, змінюється орієнтовний обсяг фінансових ресурсів, необхідних для реалізації Програми в цілому впродовж 2022-2024 років і становить </w:t>
      </w:r>
      <w:r w:rsidR="00F203FB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C6766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203FB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6766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137</w:t>
      </w:r>
      <w:r w:rsidR="00FA5816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</w:t>
      </w:r>
      <w:r w:rsidR="00F203FB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7,20 </w:t>
      </w:r>
      <w:r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грн.</w:t>
      </w:r>
    </w:p>
    <w:p w:rsidR="00133C9C" w:rsidRPr="000C6766" w:rsidRDefault="00EA3248" w:rsidP="00EA3248">
      <w:pPr>
        <w:tabs>
          <w:tab w:val="left" w:pos="-142"/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 огляду на</w:t>
      </w:r>
      <w:r w:rsidR="00C51735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вищезазначен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51735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51735" w:rsidRPr="000C6766">
        <w:rPr>
          <w:rFonts w:ascii="Times New Roman" w:eastAsia="Calibri" w:hAnsi="Times New Roman" w:cs="Times New Roman"/>
          <w:sz w:val="28"/>
          <w:szCs w:val="28"/>
        </w:rPr>
        <w:t xml:space="preserve"> пропонується </w:t>
      </w:r>
      <w:proofErr w:type="spellStart"/>
      <w:r w:rsidR="00C51735" w:rsidRPr="000C6766">
        <w:rPr>
          <w:rFonts w:ascii="Times New Roman" w:eastAsia="Calibri" w:hAnsi="Times New Roman" w:cs="Times New Roman"/>
          <w:sz w:val="28"/>
          <w:szCs w:val="28"/>
        </w:rPr>
        <w:t>внес</w:t>
      </w:r>
      <w:r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="00C51735" w:rsidRPr="000C6766">
        <w:rPr>
          <w:rFonts w:ascii="Times New Roman" w:eastAsia="Calibri" w:hAnsi="Times New Roman" w:cs="Times New Roman"/>
          <w:sz w:val="28"/>
          <w:szCs w:val="28"/>
        </w:rPr>
        <w:t xml:space="preserve"> зміни до </w:t>
      </w:r>
      <w:r w:rsidR="00C51735" w:rsidRPr="000C67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рішення Кременчуцької міської ради Кременчуцького району Полтавської області</w:t>
      </w:r>
      <w:r w:rsidR="00C51735" w:rsidRPr="000C6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1D5A" w:rsidRPr="000C6766">
        <w:rPr>
          <w:rFonts w:ascii="Times New Roman" w:eastAsia="Calibri" w:hAnsi="Times New Roman" w:cs="Times New Roman"/>
          <w:sz w:val="28"/>
          <w:szCs w:val="28"/>
        </w:rPr>
        <w:t>від</w:t>
      </w:r>
      <w:r w:rsidR="009A5F66" w:rsidRPr="000C676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71D5A" w:rsidRPr="000C6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735" w:rsidRPr="000C6766">
        <w:rPr>
          <w:rFonts w:ascii="Times New Roman" w:eastAsia="Calibri" w:hAnsi="Times New Roman" w:cs="Times New Roman"/>
          <w:sz w:val="28"/>
          <w:szCs w:val="28"/>
        </w:rPr>
        <w:t>23 листопада  2021 року «Про затвердження Програми з</w:t>
      </w:r>
      <w:r w:rsidR="00C51735" w:rsidRPr="000C676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абезпечення  діяльності та утримання в належному стані матеріально - технічної бази</w:t>
      </w:r>
      <w:r w:rsidR="00C51735" w:rsidRPr="000C676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5F66" w:rsidRPr="000C67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C51735" w:rsidRPr="000C676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КП «КОМФОРТНИЙ ДІМ» </w:t>
      </w:r>
      <w:r w:rsidR="00C51735" w:rsidRPr="000C6766">
        <w:rPr>
          <w:rFonts w:ascii="Times New Roman" w:eastAsia="Calibri" w:hAnsi="Times New Roman" w:cs="Times New Roman"/>
          <w:sz w:val="28"/>
          <w:szCs w:val="28"/>
        </w:rPr>
        <w:t>на </w:t>
      </w:r>
      <w:r w:rsidR="009C0252" w:rsidRPr="000C6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735" w:rsidRPr="000C6766">
        <w:rPr>
          <w:rFonts w:ascii="Times New Roman" w:eastAsia="Calibri" w:hAnsi="Times New Roman" w:cs="Times New Roman"/>
          <w:sz w:val="28"/>
          <w:szCs w:val="28"/>
        </w:rPr>
        <w:t>2022 - 2024 роки», а саме викласти  в новій редакції:</w:t>
      </w:r>
    </w:p>
    <w:p w:rsidR="00133C9C" w:rsidRPr="000C6766" w:rsidRDefault="00C51735" w:rsidP="00EA3248">
      <w:pPr>
        <w:tabs>
          <w:tab w:val="left" w:pos="-142"/>
          <w:tab w:val="left" w:pos="56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766">
        <w:rPr>
          <w:rFonts w:ascii="Times New Roman" w:eastAsia="Calibri" w:hAnsi="Times New Roman" w:cs="Times New Roman"/>
          <w:sz w:val="28"/>
          <w:szCs w:val="28"/>
        </w:rPr>
        <w:t>- Паспорт Програми забезпечення діяльності та утримання  в належному стані матеріально - технічної бази КП «КОМФОРТНИЙ ДІМ</w:t>
      </w:r>
      <w:r w:rsidR="00F71D5A" w:rsidRPr="000C676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C676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A5F66" w:rsidRPr="000C67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71311E" w:rsidRPr="000C6766">
        <w:rPr>
          <w:rFonts w:ascii="Times New Roman" w:eastAsia="Calibri" w:hAnsi="Times New Roman" w:cs="Times New Roman"/>
          <w:sz w:val="28"/>
          <w:szCs w:val="28"/>
        </w:rPr>
        <w:t xml:space="preserve">2022 - </w:t>
      </w:r>
      <w:r w:rsidR="00133C9C" w:rsidRPr="000C6766">
        <w:rPr>
          <w:rFonts w:ascii="Times New Roman" w:eastAsia="Calibri" w:hAnsi="Times New Roman" w:cs="Times New Roman"/>
          <w:sz w:val="28"/>
          <w:szCs w:val="28"/>
        </w:rPr>
        <w:t>2024 роки;</w:t>
      </w:r>
    </w:p>
    <w:p w:rsidR="00133C9C" w:rsidRPr="000C6766" w:rsidRDefault="009A5F66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C6766">
        <w:rPr>
          <w:rFonts w:ascii="Times New Roman" w:eastAsia="Calibri" w:hAnsi="Times New Roman" w:cs="Times New Roman"/>
          <w:sz w:val="28"/>
          <w:szCs w:val="28"/>
        </w:rPr>
        <w:t xml:space="preserve">- Розділ ІІІ. Заходи </w:t>
      </w:r>
      <w:r w:rsidR="00C51735" w:rsidRPr="000C6766">
        <w:rPr>
          <w:rFonts w:ascii="Times New Roman" w:eastAsia="Calibri" w:hAnsi="Times New Roman" w:cs="Times New Roman"/>
          <w:sz w:val="28"/>
          <w:szCs w:val="28"/>
        </w:rPr>
        <w:t xml:space="preserve"> забезпечення виконання Програми;</w:t>
      </w:r>
    </w:p>
    <w:p w:rsidR="0071311E" w:rsidRDefault="00C51735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766">
        <w:rPr>
          <w:rFonts w:ascii="Times New Roman" w:eastAsia="Calibri" w:hAnsi="Times New Roman" w:cs="Times New Roman"/>
          <w:sz w:val="28"/>
          <w:szCs w:val="28"/>
        </w:rPr>
        <w:t>- Додаток 1 до Програми забезп</w:t>
      </w:r>
      <w:r w:rsidR="0071311E" w:rsidRPr="000C6766">
        <w:rPr>
          <w:rFonts w:ascii="Times New Roman" w:eastAsia="Calibri" w:hAnsi="Times New Roman" w:cs="Times New Roman"/>
          <w:sz w:val="28"/>
          <w:szCs w:val="28"/>
        </w:rPr>
        <w:t xml:space="preserve">ечення діяльності та утримання </w:t>
      </w:r>
      <w:r w:rsidRPr="000C676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33C9C" w:rsidRPr="000C676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C6766">
        <w:rPr>
          <w:rFonts w:ascii="Times New Roman" w:eastAsia="Calibri" w:hAnsi="Times New Roman" w:cs="Times New Roman"/>
          <w:sz w:val="28"/>
          <w:szCs w:val="28"/>
        </w:rPr>
        <w:t>належному стані матеріально - технічно</w:t>
      </w:r>
      <w:r w:rsidR="00F71D5A" w:rsidRPr="000C6766">
        <w:rPr>
          <w:rFonts w:ascii="Times New Roman" w:eastAsia="Calibri" w:hAnsi="Times New Roman" w:cs="Times New Roman"/>
          <w:sz w:val="28"/>
          <w:szCs w:val="28"/>
        </w:rPr>
        <w:t>ї бази КП «КОМФОРТНИЙ ДІМ» на</w:t>
      </w:r>
      <w:r w:rsidR="00133C9C" w:rsidRPr="000C67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F71D5A" w:rsidRPr="000C6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766">
        <w:rPr>
          <w:rFonts w:ascii="Times New Roman" w:eastAsia="Calibri" w:hAnsi="Times New Roman" w:cs="Times New Roman"/>
          <w:sz w:val="28"/>
          <w:szCs w:val="28"/>
        </w:rPr>
        <w:t>202</w:t>
      </w:r>
      <w:r w:rsidR="00133C9C" w:rsidRPr="000C6766">
        <w:rPr>
          <w:rFonts w:ascii="Times New Roman" w:eastAsia="Calibri" w:hAnsi="Times New Roman" w:cs="Times New Roman"/>
          <w:sz w:val="28"/>
          <w:szCs w:val="28"/>
        </w:rPr>
        <w:t>2 - 2024 роки.</w:t>
      </w:r>
    </w:p>
    <w:p w:rsidR="00F203FB" w:rsidRDefault="00F203FB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3FB" w:rsidRPr="0071311E" w:rsidRDefault="00F203FB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042B39" w:rsidRDefault="00C51735" w:rsidP="00042B39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A66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Директор </w:t>
      </w:r>
    </w:p>
    <w:p w:rsidR="003A665C" w:rsidRDefault="00C51735" w:rsidP="00042B39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КП «КОМФОРТНИЙ ДІМ»</w:t>
      </w:r>
      <w:r w:rsidR="00D60B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2B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131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311E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A66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133C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3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Володимир КУРГАЄВ</w:t>
      </w: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B91" w:rsidRDefault="00543B9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B91" w:rsidRDefault="00543B9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42B39" w:rsidRDefault="00042B39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42B39" w:rsidRDefault="00042B39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42B39" w:rsidRDefault="00042B39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42B39" w:rsidRDefault="00042B39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42B39" w:rsidRDefault="00042B39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42B39" w:rsidRDefault="00042B39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42B39" w:rsidRDefault="00042B39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Pr="00EA3248" w:rsidRDefault="00F3370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A32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Валентина </w:t>
      </w:r>
      <w:r w:rsidR="00EA3248" w:rsidRPr="00EA32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Кравченко</w:t>
      </w:r>
    </w:p>
    <w:p w:rsidR="00EA3248" w:rsidRPr="00EA3248" w:rsidRDefault="00EA3248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A32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0984816180</w:t>
      </w:r>
    </w:p>
    <w:p w:rsidR="00EA3248" w:rsidRPr="00F33701" w:rsidRDefault="00EA3248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sectPr w:rsidR="00EA3248" w:rsidRPr="00F33701" w:rsidSect="005E4B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6D6"/>
    <w:multiLevelType w:val="hybridMultilevel"/>
    <w:tmpl w:val="C7BAACB8"/>
    <w:lvl w:ilvl="0" w:tplc="4E86D6AA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30050F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18687398"/>
    <w:multiLevelType w:val="hybridMultilevel"/>
    <w:tmpl w:val="06AC69A4"/>
    <w:lvl w:ilvl="0" w:tplc="677A381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FEB"/>
    <w:multiLevelType w:val="hybridMultilevel"/>
    <w:tmpl w:val="407A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1171B"/>
    <w:multiLevelType w:val="hybridMultilevel"/>
    <w:tmpl w:val="BD82D60E"/>
    <w:lvl w:ilvl="0" w:tplc="EB98A412">
      <w:start w:val="3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7553FE"/>
    <w:multiLevelType w:val="hybridMultilevel"/>
    <w:tmpl w:val="FFE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720D3"/>
    <w:multiLevelType w:val="hybridMultilevel"/>
    <w:tmpl w:val="D09EE694"/>
    <w:lvl w:ilvl="0" w:tplc="D742BA9E">
      <w:start w:val="7"/>
      <w:numFmt w:val="bullet"/>
      <w:lvlText w:val="-"/>
      <w:lvlJc w:val="left"/>
      <w:pPr>
        <w:ind w:left="4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6A57691A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71E642A0"/>
    <w:multiLevelType w:val="hybridMultilevel"/>
    <w:tmpl w:val="6010AFE0"/>
    <w:lvl w:ilvl="0" w:tplc="0EDA357C">
      <w:start w:val="1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60"/>
    <w:rsid w:val="000173A7"/>
    <w:rsid w:val="00042B39"/>
    <w:rsid w:val="0005103D"/>
    <w:rsid w:val="00054404"/>
    <w:rsid w:val="00074DE2"/>
    <w:rsid w:val="000B0218"/>
    <w:rsid w:val="000C6766"/>
    <w:rsid w:val="000C70A2"/>
    <w:rsid w:val="001146E7"/>
    <w:rsid w:val="00133C9C"/>
    <w:rsid w:val="001B5CFA"/>
    <w:rsid w:val="001C5C72"/>
    <w:rsid w:val="00243AF8"/>
    <w:rsid w:val="00287CF0"/>
    <w:rsid w:val="002C04D0"/>
    <w:rsid w:val="002D6A98"/>
    <w:rsid w:val="002E019F"/>
    <w:rsid w:val="002E25F8"/>
    <w:rsid w:val="002E2788"/>
    <w:rsid w:val="00354799"/>
    <w:rsid w:val="003867D7"/>
    <w:rsid w:val="00387B6D"/>
    <w:rsid w:val="003A665C"/>
    <w:rsid w:val="003C6673"/>
    <w:rsid w:val="0047167B"/>
    <w:rsid w:val="00475A7A"/>
    <w:rsid w:val="00491000"/>
    <w:rsid w:val="004B379D"/>
    <w:rsid w:val="004C2FB7"/>
    <w:rsid w:val="004E08DE"/>
    <w:rsid w:val="004F7260"/>
    <w:rsid w:val="00535E8B"/>
    <w:rsid w:val="00543B91"/>
    <w:rsid w:val="00594208"/>
    <w:rsid w:val="005A7907"/>
    <w:rsid w:val="005C1BB8"/>
    <w:rsid w:val="005D67DC"/>
    <w:rsid w:val="005D7188"/>
    <w:rsid w:val="005E4B3B"/>
    <w:rsid w:val="005E7E86"/>
    <w:rsid w:val="00606CB6"/>
    <w:rsid w:val="006117E3"/>
    <w:rsid w:val="006125A2"/>
    <w:rsid w:val="006C1B95"/>
    <w:rsid w:val="006E1393"/>
    <w:rsid w:val="006F1B05"/>
    <w:rsid w:val="0071311E"/>
    <w:rsid w:val="00733700"/>
    <w:rsid w:val="00775F8B"/>
    <w:rsid w:val="0077717E"/>
    <w:rsid w:val="007A3F7B"/>
    <w:rsid w:val="007F4BE0"/>
    <w:rsid w:val="00811DBD"/>
    <w:rsid w:val="008145DD"/>
    <w:rsid w:val="0082141E"/>
    <w:rsid w:val="008B15BF"/>
    <w:rsid w:val="008D17C8"/>
    <w:rsid w:val="00933C6C"/>
    <w:rsid w:val="00965B6A"/>
    <w:rsid w:val="009A5F66"/>
    <w:rsid w:val="009C0252"/>
    <w:rsid w:val="009E1775"/>
    <w:rsid w:val="00A27959"/>
    <w:rsid w:val="00A279BA"/>
    <w:rsid w:val="00A54379"/>
    <w:rsid w:val="00AA1C2D"/>
    <w:rsid w:val="00AC3E3E"/>
    <w:rsid w:val="00B231E7"/>
    <w:rsid w:val="00BC3EF4"/>
    <w:rsid w:val="00C30498"/>
    <w:rsid w:val="00C50A68"/>
    <w:rsid w:val="00C51735"/>
    <w:rsid w:val="00C83A31"/>
    <w:rsid w:val="00CA6574"/>
    <w:rsid w:val="00CB1EAD"/>
    <w:rsid w:val="00CE2DED"/>
    <w:rsid w:val="00CE6E99"/>
    <w:rsid w:val="00CF2ED5"/>
    <w:rsid w:val="00CF39DE"/>
    <w:rsid w:val="00D57242"/>
    <w:rsid w:val="00D60BF9"/>
    <w:rsid w:val="00D720E5"/>
    <w:rsid w:val="00D869A4"/>
    <w:rsid w:val="00D90D09"/>
    <w:rsid w:val="00DA79C6"/>
    <w:rsid w:val="00DB1F9B"/>
    <w:rsid w:val="00DD4126"/>
    <w:rsid w:val="00DF5609"/>
    <w:rsid w:val="00E405A1"/>
    <w:rsid w:val="00E87485"/>
    <w:rsid w:val="00E96A81"/>
    <w:rsid w:val="00EA3248"/>
    <w:rsid w:val="00EB6FBD"/>
    <w:rsid w:val="00ED34C4"/>
    <w:rsid w:val="00F120F2"/>
    <w:rsid w:val="00F203FB"/>
    <w:rsid w:val="00F33701"/>
    <w:rsid w:val="00F71D5A"/>
    <w:rsid w:val="00F732F7"/>
    <w:rsid w:val="00F81300"/>
    <w:rsid w:val="00FA5816"/>
    <w:rsid w:val="00FB6613"/>
    <w:rsid w:val="00FD0273"/>
    <w:rsid w:val="00FE0343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19649-3100-47B2-B58A-6E0F1CB4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26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173A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E87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E874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0C43-D3A7-4DF9-B3AD-5C74839D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Южная ж.д.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Кургаєва Тетяна Миколаївна</cp:lastModifiedBy>
  <cp:revision>4</cp:revision>
  <cp:lastPrinted>2024-04-23T06:45:00Z</cp:lastPrinted>
  <dcterms:created xsi:type="dcterms:W3CDTF">2024-04-22T13:44:00Z</dcterms:created>
  <dcterms:modified xsi:type="dcterms:W3CDTF">2024-04-23T06:46:00Z</dcterms:modified>
</cp:coreProperties>
</file>