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08" w:rsidRPr="00614408" w:rsidRDefault="00614408" w:rsidP="00614408">
      <w:pPr>
        <w:keepNext/>
        <w:widowControl w:val="0"/>
        <w:tabs>
          <w:tab w:val="left" w:pos="709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0"/>
          <w:lang w:val="uk-UA" w:eastAsia="ru-RU"/>
        </w:rPr>
      </w:pPr>
      <w:r w:rsidRPr="0061440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0"/>
          <w:lang w:val="uk-UA" w:eastAsia="ru-RU"/>
        </w:rPr>
        <w:t>Пояснювальна записка до проєкту рішення Кременчуцької міської ради Кременчуцького району Полтавської області</w:t>
      </w:r>
    </w:p>
    <w:p w:rsidR="00614408" w:rsidRDefault="00614408" w:rsidP="0061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144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міської цільової програми </w:t>
      </w:r>
    </w:p>
    <w:p w:rsidR="00614408" w:rsidRDefault="00614408" w:rsidP="0061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4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«Діти Кременчука» на 2021-2025 роки </w:t>
      </w:r>
      <w:r w:rsidR="00C66B20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6144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новій редакції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14408" w:rsidRDefault="00614408" w:rsidP="0061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15C7" w:rsidRDefault="00663328" w:rsidP="00911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332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115C7" w:rsidRPr="002E50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рішення виконавчого комітету Кременчуцької  міської ради Кременчуцького району Полтавської області від 01.06.2023 № 1001 «Про  надання  згоди  на  безоплатну передачу  об’єкта  нерухомого майна, який належить до комунальної власності  Кременчуцької  міської  територіальної громади, з балансу на баланс» з балансу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на баланс Департаменту у справах сімей та дітей Кременчуцької міської ради Кременчуцького району Полтавської області (далі – Департамент) передано нежитлов</w:t>
      </w:r>
      <w:r w:rsidR="009115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="009115C7" w:rsidRPr="002E50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приміщення, площею</w:t>
      </w:r>
      <w:r w:rsidR="009115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98,7 </w:t>
      </w:r>
      <w:proofErr w:type="spellStart"/>
      <w:r w:rsidR="009115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</w:t>
      </w:r>
      <w:proofErr w:type="spellEnd"/>
      <w:r w:rsidR="009115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м, розташоване по</w:t>
      </w:r>
      <w:r w:rsidR="009115C7" w:rsidRPr="002E50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115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</w:t>
      </w:r>
      <w:r w:rsidR="009115C7" w:rsidRPr="002E50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 Університетській (колишня назва – вул. Першотравнева), буд. 23, для створення Центру Життєстійкості. </w:t>
      </w:r>
    </w:p>
    <w:p w:rsidR="009115C7" w:rsidRDefault="009115C7" w:rsidP="00911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50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функціонування Центру Життєстійкості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необхідно передбачити кошти на </w:t>
      </w:r>
      <w:r w:rsidRPr="009115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супровід охоронної,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жежної і тривожної сигналізації, утримання приміщення.</w:t>
      </w:r>
    </w:p>
    <w:p w:rsidR="009115C7" w:rsidRPr="009845AD" w:rsidRDefault="009115C7" w:rsidP="00911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84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Видатки на оплату вищевказаної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статті витрат</w:t>
      </w:r>
      <w:r w:rsidRPr="00984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кошторис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Департаменту</w:t>
      </w:r>
      <w:r w:rsidRPr="00984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міській</w:t>
      </w:r>
      <w:r w:rsidRPr="004D77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цільов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Pr="004D77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4D77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«Діти Кременчука» на 2021-2025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84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2024 рік не передбачені.</w:t>
      </w:r>
    </w:p>
    <w:p w:rsidR="009115C7" w:rsidRDefault="009115C7" w:rsidP="00911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84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Виходячи з вищевикладеного, є необхідність у внесенні змін до рішення, а саме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984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розділу «І.</w:t>
      </w:r>
      <w:r w:rsidRPr="000C1D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E50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Програми та заходи Департаменту у справах сімей та дітей Кременчуцької міської ради Кременчуцького району Полтавської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», пункт</w:t>
      </w:r>
      <w:r w:rsidR="008D06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14 «</w:t>
      </w:r>
      <w:r w:rsidRPr="002E50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Створення та забезпечення функціонування Центру Життєстійкості</w:t>
      </w:r>
      <w:r w:rsidR="008D06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збільшивши необхідне фінансування на 2024 рік на </w:t>
      </w:r>
      <w:r w:rsidR="008D06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50,000 тис. грн на о</w:t>
      </w:r>
      <w:r w:rsidR="008D069B" w:rsidRPr="008D06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плат</w:t>
      </w:r>
      <w:r w:rsidR="008D06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D069B" w:rsidRPr="008D06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послуг (крім комунальних)</w:t>
      </w:r>
      <w:r w:rsidR="002F0B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F0BCC" w:rsidRDefault="002F0BCC" w:rsidP="0066332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3328" w:rsidRDefault="00663328" w:rsidP="0066332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Стара редакція:</w:t>
      </w:r>
    </w:p>
    <w:tbl>
      <w:tblPr>
        <w:tblpPr w:leftFromText="180" w:rightFromText="180" w:vertAnchor="text" w:horzAnchor="margin" w:tblpX="108" w:tblpY="10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134"/>
        <w:gridCol w:w="1242"/>
        <w:gridCol w:w="1134"/>
        <w:gridCol w:w="1134"/>
        <w:gridCol w:w="1167"/>
      </w:tblGrid>
      <w:tr w:rsidR="00663328" w:rsidRPr="00663328" w:rsidTr="003715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№ з/п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Статті витрат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Необхідне фінансування по рокам, тис грн</w:t>
            </w:r>
          </w:p>
        </w:tc>
      </w:tr>
      <w:tr w:rsidR="00663328" w:rsidRPr="00663328" w:rsidTr="003715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2021 рік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2022 рік</w:t>
            </w:r>
          </w:p>
        </w:tc>
        <w:tc>
          <w:tcPr>
            <w:tcW w:w="1134" w:type="dxa"/>
            <w:shd w:val="clear" w:color="auto" w:fill="auto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2024 рік</w:t>
            </w:r>
          </w:p>
        </w:tc>
        <w:tc>
          <w:tcPr>
            <w:tcW w:w="1167" w:type="dxa"/>
            <w:shd w:val="clear" w:color="auto" w:fill="auto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2025 рік</w:t>
            </w:r>
          </w:p>
        </w:tc>
      </w:tr>
      <w:tr w:rsidR="00663328" w:rsidRPr="00663328" w:rsidTr="003715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Загальне фінансування за програмою: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420,000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670,000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800,000</w:t>
            </w:r>
          </w:p>
        </w:tc>
      </w:tr>
      <w:tr w:rsidR="00663328" w:rsidRPr="00663328" w:rsidTr="003715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color w:val="0D0D0D"/>
                <w:lang w:val="uk-UA" w:eastAsia="ar-SA"/>
              </w:rPr>
              <w:t xml:space="preserve">Розробка </w:t>
            </w:r>
            <w:proofErr w:type="spellStart"/>
            <w:r w:rsidRPr="00663328">
              <w:rPr>
                <w:rFonts w:ascii="Times New Roman" w:eastAsia="Calibri" w:hAnsi="Times New Roman" w:cs="Times New Roman"/>
                <w:color w:val="0D0D0D"/>
                <w:lang w:val="uk-UA" w:eastAsia="ar-SA"/>
              </w:rPr>
              <w:t>проєктно</w:t>
            </w:r>
            <w:proofErr w:type="spellEnd"/>
            <w:r w:rsidRPr="00663328">
              <w:rPr>
                <w:rFonts w:ascii="Times New Roman" w:eastAsia="Calibri" w:hAnsi="Times New Roman" w:cs="Times New Roman"/>
                <w:color w:val="0D0D0D"/>
                <w:lang w:val="uk-UA" w:eastAsia="ar-SA"/>
              </w:rPr>
              <w:t>-кошторисної документації та супутніх документів до неї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70,000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-</w:t>
            </w:r>
          </w:p>
        </w:tc>
      </w:tr>
      <w:tr w:rsidR="00663328" w:rsidRPr="00663328" w:rsidTr="003715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color w:val="0D0D0D"/>
                <w:lang w:val="uk-UA" w:eastAsia="ar-SA"/>
              </w:rPr>
              <w:t>Оплата комунальних послуг та енергоносіїв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120,000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200,000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300,000</w:t>
            </w:r>
          </w:p>
        </w:tc>
      </w:tr>
      <w:tr w:rsidR="00663328" w:rsidRPr="00663328" w:rsidTr="003715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color w:val="0D0D0D"/>
                <w:lang w:val="uk-UA" w:eastAsia="ar-SA"/>
              </w:rPr>
              <w:t>Оплата послуг (крім комунальних)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2</w:t>
            </w:r>
            <w:r>
              <w:rPr>
                <w:rFonts w:ascii="Times New Roman" w:eastAsia="Calibri" w:hAnsi="Times New Roman" w:cs="Times New Roman"/>
                <w:lang w:val="uk-UA" w:eastAsia="ar-SA"/>
              </w:rPr>
              <w:t>0</w:t>
            </w: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0,000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300,000</w:t>
            </w:r>
          </w:p>
        </w:tc>
      </w:tr>
      <w:tr w:rsidR="00663328" w:rsidRPr="00663328" w:rsidTr="003715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color w:val="0D0D0D"/>
                <w:lang w:val="uk-UA" w:eastAsia="ar-SA"/>
              </w:rPr>
              <w:t>Придбання предметів, матеріалів, обладнання, інвентарю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150,000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200,000</w:t>
            </w:r>
          </w:p>
        </w:tc>
      </w:tr>
    </w:tbl>
    <w:p w:rsidR="00663328" w:rsidRDefault="00663328" w:rsidP="0061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0BCC" w:rsidRDefault="002F0BCC" w:rsidP="0061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0BCC" w:rsidRDefault="002F0BCC" w:rsidP="0061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3328" w:rsidRDefault="00663328" w:rsidP="0066332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Нова редакція:</w:t>
      </w:r>
    </w:p>
    <w:tbl>
      <w:tblPr>
        <w:tblpPr w:leftFromText="180" w:rightFromText="180" w:vertAnchor="text" w:horzAnchor="margin" w:tblpX="108" w:tblpY="10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134"/>
        <w:gridCol w:w="1242"/>
        <w:gridCol w:w="1134"/>
        <w:gridCol w:w="1134"/>
        <w:gridCol w:w="1167"/>
      </w:tblGrid>
      <w:tr w:rsidR="00663328" w:rsidRPr="00663328" w:rsidTr="003715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№ з/п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Статті витрат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Необхідне фінансування по рокам, тис грн</w:t>
            </w:r>
          </w:p>
        </w:tc>
      </w:tr>
      <w:tr w:rsidR="00663328" w:rsidRPr="00663328" w:rsidTr="003715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2021 рік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2022 рік</w:t>
            </w:r>
          </w:p>
        </w:tc>
        <w:tc>
          <w:tcPr>
            <w:tcW w:w="1134" w:type="dxa"/>
            <w:shd w:val="clear" w:color="auto" w:fill="auto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2024 рік</w:t>
            </w:r>
          </w:p>
        </w:tc>
        <w:tc>
          <w:tcPr>
            <w:tcW w:w="1167" w:type="dxa"/>
            <w:shd w:val="clear" w:color="auto" w:fill="auto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2025 рік</w:t>
            </w:r>
          </w:p>
        </w:tc>
      </w:tr>
      <w:tr w:rsidR="00663328" w:rsidRPr="00663328" w:rsidTr="003715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Загальне фінансування за програмою: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420,000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670,000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b/>
                <w:lang w:val="uk-UA" w:eastAsia="ar-SA"/>
              </w:rPr>
              <w:t>800,000</w:t>
            </w:r>
          </w:p>
        </w:tc>
      </w:tr>
      <w:tr w:rsidR="00663328" w:rsidRPr="00663328" w:rsidTr="003715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color w:val="0D0D0D"/>
                <w:lang w:val="uk-UA" w:eastAsia="ar-SA"/>
              </w:rPr>
              <w:t xml:space="preserve">Розробка </w:t>
            </w:r>
            <w:proofErr w:type="spellStart"/>
            <w:r w:rsidRPr="00663328">
              <w:rPr>
                <w:rFonts w:ascii="Times New Roman" w:eastAsia="Calibri" w:hAnsi="Times New Roman" w:cs="Times New Roman"/>
                <w:color w:val="0D0D0D"/>
                <w:lang w:val="uk-UA" w:eastAsia="ar-SA"/>
              </w:rPr>
              <w:t>проєктно</w:t>
            </w:r>
            <w:proofErr w:type="spellEnd"/>
            <w:r w:rsidRPr="00663328">
              <w:rPr>
                <w:rFonts w:ascii="Times New Roman" w:eastAsia="Calibri" w:hAnsi="Times New Roman" w:cs="Times New Roman"/>
                <w:color w:val="0D0D0D"/>
                <w:lang w:val="uk-UA" w:eastAsia="ar-SA"/>
              </w:rPr>
              <w:t>-кошторисної документації та супутніх документів до неї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70,000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-</w:t>
            </w:r>
          </w:p>
        </w:tc>
      </w:tr>
      <w:tr w:rsidR="00663328" w:rsidRPr="00663328" w:rsidTr="003715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color w:val="0D0D0D"/>
                <w:lang w:val="uk-UA" w:eastAsia="ar-SA"/>
              </w:rPr>
              <w:t>Оплата комунальних послуг та енергоносіїв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120,000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200,000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300,000</w:t>
            </w:r>
          </w:p>
        </w:tc>
      </w:tr>
      <w:tr w:rsidR="00663328" w:rsidRPr="00663328" w:rsidTr="003715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color w:val="0D0D0D"/>
                <w:lang w:val="uk-UA" w:eastAsia="ar-SA"/>
              </w:rPr>
              <w:t>Оплата послуг (крім комунальних)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250,000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300,000</w:t>
            </w:r>
          </w:p>
        </w:tc>
      </w:tr>
      <w:tr w:rsidR="00663328" w:rsidRPr="00663328" w:rsidTr="003715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color w:val="0D0D0D"/>
                <w:lang w:val="uk-UA" w:eastAsia="ar-SA"/>
              </w:rPr>
              <w:t>Придбання предметів, матеріалів, обладнання, інвентарю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150,000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Calibri" w:hAnsi="Times New Roman" w:cs="Times New Roman"/>
                <w:lang w:val="uk-UA" w:eastAsia="ar-SA"/>
              </w:rPr>
              <w:t>200,000</w:t>
            </w:r>
          </w:p>
        </w:tc>
      </w:tr>
    </w:tbl>
    <w:p w:rsidR="00663328" w:rsidRPr="00614408" w:rsidRDefault="00663328" w:rsidP="0061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45AD" w:rsidRPr="009845AD" w:rsidRDefault="0002506B" w:rsidP="00984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9845AD" w:rsidRPr="00984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рішення виконавчого комітету Кременчуцької міської ради Кременчуцького району Полтавської області від 22.03.2024 № 654 «Про виділення коштів з Стабілізаційного Фонду Кременчуцької міської територіальної громади» Департаменту у справах сімей та дітей Кременчуцької міської ради Кременчуцького району Полтавської області були виділені кошти на погашення кредиторської заборгованості за постача</w:t>
      </w:r>
      <w:r w:rsidR="00984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ння теплової енергії </w:t>
      </w:r>
      <w:r w:rsidR="004D772D" w:rsidRPr="004D772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Центр</w:t>
      </w:r>
      <w:r w:rsidR="004D772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</w:t>
      </w:r>
      <w:r w:rsidR="004D772D" w:rsidRPr="004D772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соціально-психологічної реабілітації дітей Кременчуцької міської ради Кременчуцького району Полтавської області (далі – Центр для дітей</w:t>
      </w:r>
      <w:r w:rsidR="004D772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 на суму 669 073,59</w:t>
      </w:r>
      <w:r w:rsidR="009845AD" w:rsidRPr="00984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грн.</w:t>
      </w:r>
    </w:p>
    <w:p w:rsidR="009845AD" w:rsidRPr="009845AD" w:rsidRDefault="009845AD" w:rsidP="00984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84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Видатки на оплату вищевказаної кредиторської заборгованості у кошторис</w:t>
      </w:r>
      <w:r w:rsidR="004D77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Центру для дітей</w:t>
      </w:r>
      <w:r w:rsidRPr="00984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у </w:t>
      </w:r>
      <w:r w:rsidR="004D77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міській</w:t>
      </w:r>
      <w:r w:rsidR="004D772D" w:rsidRPr="004D77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цільов</w:t>
      </w:r>
      <w:r w:rsidR="004D77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="004D772D" w:rsidRPr="004D77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програм</w:t>
      </w:r>
      <w:r w:rsidR="004D77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4D772D" w:rsidRPr="004D77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«Діти Кременчука» на 2021-</w:t>
      </w:r>
      <w:r w:rsidR="004D77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4D772D" w:rsidRPr="004D77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2025 роки</w:t>
      </w:r>
      <w:r w:rsidR="004D77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84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2024 рік не передбачені.</w:t>
      </w:r>
    </w:p>
    <w:p w:rsidR="00A44F8B" w:rsidRDefault="00A44F8B" w:rsidP="00A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84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Виходячи з вищевикладеного, є необхідність у внесенні змін до рішення, а саме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984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D77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розділу </w:t>
      </w:r>
      <w:r w:rsidR="008D06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Pr="00A44F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V. Програма діяльності Центру соціально-психологічної реабілітації дітей Кременчуцької міської ради Кременчуцького району Полтавської області</w:t>
      </w:r>
      <w:r w:rsidR="008D06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D77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пункту </w:t>
      </w:r>
      <w:r w:rsidR="008D06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Pr="00A44F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Забезпечення матеріально-побутових потреб дітей</w:t>
      </w:r>
      <w:r w:rsidR="008D06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збільшивши необхідне фінансування на 2024 рік на 669,074 тис. грн.</w:t>
      </w:r>
    </w:p>
    <w:p w:rsidR="004D772D" w:rsidRPr="004D772D" w:rsidRDefault="004D772D" w:rsidP="00A46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4D7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Стара редакція: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1026"/>
        <w:gridCol w:w="1134"/>
        <w:gridCol w:w="1134"/>
        <w:gridCol w:w="1168"/>
        <w:gridCol w:w="8"/>
      </w:tblGrid>
      <w:tr w:rsidR="004D772D" w:rsidRPr="004D772D" w:rsidTr="003715DE">
        <w:tc>
          <w:tcPr>
            <w:tcW w:w="534" w:type="dxa"/>
            <w:vMerge w:val="restart"/>
            <w:vAlign w:val="center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№ з/п</w:t>
            </w:r>
          </w:p>
        </w:tc>
        <w:tc>
          <w:tcPr>
            <w:tcW w:w="3402" w:type="dxa"/>
            <w:vMerge w:val="restart"/>
            <w:vAlign w:val="center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Статті витрат</w:t>
            </w:r>
          </w:p>
        </w:tc>
        <w:tc>
          <w:tcPr>
            <w:tcW w:w="5604" w:type="dxa"/>
            <w:gridSpan w:val="6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Необхідне фінансування по рокам, тис</w:t>
            </w:r>
            <w:r w:rsidR="00A44F8B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.</w:t>
            </w: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грн</w:t>
            </w:r>
          </w:p>
        </w:tc>
      </w:tr>
      <w:tr w:rsidR="004D772D" w:rsidRPr="004D772D" w:rsidTr="003715DE">
        <w:trPr>
          <w:gridAfter w:val="1"/>
          <w:wAfter w:w="8" w:type="dxa"/>
        </w:trPr>
        <w:tc>
          <w:tcPr>
            <w:tcW w:w="534" w:type="dxa"/>
            <w:vMerge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  <w:vMerge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134" w:type="dxa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2021 рік</w:t>
            </w:r>
          </w:p>
        </w:tc>
        <w:tc>
          <w:tcPr>
            <w:tcW w:w="1026" w:type="dxa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2022 рік</w:t>
            </w:r>
          </w:p>
        </w:tc>
        <w:tc>
          <w:tcPr>
            <w:tcW w:w="1134" w:type="dxa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2023 рік</w:t>
            </w:r>
          </w:p>
        </w:tc>
        <w:tc>
          <w:tcPr>
            <w:tcW w:w="1134" w:type="dxa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2024 рік</w:t>
            </w:r>
          </w:p>
        </w:tc>
        <w:tc>
          <w:tcPr>
            <w:tcW w:w="1168" w:type="dxa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2025 рік</w:t>
            </w:r>
          </w:p>
        </w:tc>
      </w:tr>
      <w:tr w:rsidR="004D772D" w:rsidRPr="004D772D" w:rsidTr="003715DE">
        <w:trPr>
          <w:gridAfter w:val="1"/>
          <w:wAfter w:w="8" w:type="dxa"/>
        </w:trPr>
        <w:tc>
          <w:tcPr>
            <w:tcW w:w="534" w:type="dxa"/>
            <w:vMerge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Загальне фінансування за програмою:</w:t>
            </w:r>
          </w:p>
        </w:tc>
        <w:tc>
          <w:tcPr>
            <w:tcW w:w="1134" w:type="dxa"/>
            <w:vAlign w:val="center"/>
          </w:tcPr>
          <w:p w:rsidR="004D772D" w:rsidRPr="004D772D" w:rsidRDefault="004D772D" w:rsidP="004D772D">
            <w:pPr>
              <w:tabs>
                <w:tab w:val="left" w:pos="1035"/>
                <w:tab w:val="left" w:pos="1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026" w:type="dxa"/>
            <w:vAlign w:val="center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3 000,000</w:t>
            </w:r>
          </w:p>
        </w:tc>
        <w:tc>
          <w:tcPr>
            <w:tcW w:w="1134" w:type="dxa"/>
            <w:vAlign w:val="center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300</w:t>
            </w: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000</w:t>
            </w:r>
          </w:p>
        </w:tc>
        <w:tc>
          <w:tcPr>
            <w:tcW w:w="1168" w:type="dxa"/>
            <w:vAlign w:val="center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3 630,000</w:t>
            </w:r>
          </w:p>
        </w:tc>
      </w:tr>
    </w:tbl>
    <w:p w:rsidR="004D772D" w:rsidRDefault="004D772D" w:rsidP="00A46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D772D" w:rsidRPr="004D772D" w:rsidRDefault="004D772D" w:rsidP="00A46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4D7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Нова редакція: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1026"/>
        <w:gridCol w:w="1134"/>
        <w:gridCol w:w="1134"/>
        <w:gridCol w:w="1168"/>
        <w:gridCol w:w="8"/>
      </w:tblGrid>
      <w:tr w:rsidR="004D772D" w:rsidRPr="004D772D" w:rsidTr="003715DE">
        <w:tc>
          <w:tcPr>
            <w:tcW w:w="534" w:type="dxa"/>
            <w:vMerge w:val="restart"/>
            <w:vAlign w:val="center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№ з/п</w:t>
            </w:r>
          </w:p>
        </w:tc>
        <w:tc>
          <w:tcPr>
            <w:tcW w:w="3402" w:type="dxa"/>
            <w:vMerge w:val="restart"/>
            <w:vAlign w:val="center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Статті витрат</w:t>
            </w:r>
          </w:p>
        </w:tc>
        <w:tc>
          <w:tcPr>
            <w:tcW w:w="5604" w:type="dxa"/>
            <w:gridSpan w:val="6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Необхідне фінансування по рокам, тис</w:t>
            </w:r>
            <w:r w:rsidR="00A44F8B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.</w:t>
            </w: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грн</w:t>
            </w:r>
          </w:p>
        </w:tc>
      </w:tr>
      <w:tr w:rsidR="004D772D" w:rsidRPr="004D772D" w:rsidTr="003715DE">
        <w:trPr>
          <w:gridAfter w:val="1"/>
          <w:wAfter w:w="8" w:type="dxa"/>
        </w:trPr>
        <w:tc>
          <w:tcPr>
            <w:tcW w:w="534" w:type="dxa"/>
            <w:vMerge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  <w:vMerge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134" w:type="dxa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2021 рік</w:t>
            </w:r>
          </w:p>
        </w:tc>
        <w:tc>
          <w:tcPr>
            <w:tcW w:w="1026" w:type="dxa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2022 рік</w:t>
            </w:r>
          </w:p>
        </w:tc>
        <w:tc>
          <w:tcPr>
            <w:tcW w:w="1134" w:type="dxa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2023 рік</w:t>
            </w:r>
          </w:p>
        </w:tc>
        <w:tc>
          <w:tcPr>
            <w:tcW w:w="1134" w:type="dxa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2024 рік</w:t>
            </w:r>
          </w:p>
        </w:tc>
        <w:tc>
          <w:tcPr>
            <w:tcW w:w="1168" w:type="dxa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2025 рік</w:t>
            </w:r>
          </w:p>
        </w:tc>
      </w:tr>
      <w:tr w:rsidR="004D772D" w:rsidRPr="004D772D" w:rsidTr="003715DE">
        <w:trPr>
          <w:gridAfter w:val="1"/>
          <w:wAfter w:w="8" w:type="dxa"/>
        </w:trPr>
        <w:tc>
          <w:tcPr>
            <w:tcW w:w="534" w:type="dxa"/>
            <w:vMerge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Загальне фінансування за програмою:</w:t>
            </w:r>
          </w:p>
        </w:tc>
        <w:tc>
          <w:tcPr>
            <w:tcW w:w="1134" w:type="dxa"/>
            <w:vAlign w:val="center"/>
          </w:tcPr>
          <w:p w:rsidR="004D772D" w:rsidRPr="004D772D" w:rsidRDefault="004D772D" w:rsidP="004D772D">
            <w:pPr>
              <w:tabs>
                <w:tab w:val="left" w:pos="1035"/>
                <w:tab w:val="left" w:pos="1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026" w:type="dxa"/>
            <w:vAlign w:val="center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3 000,000</w:t>
            </w:r>
          </w:p>
        </w:tc>
        <w:tc>
          <w:tcPr>
            <w:tcW w:w="1134" w:type="dxa"/>
            <w:vAlign w:val="center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3 969,074</w:t>
            </w:r>
          </w:p>
        </w:tc>
        <w:tc>
          <w:tcPr>
            <w:tcW w:w="1168" w:type="dxa"/>
            <w:vAlign w:val="center"/>
          </w:tcPr>
          <w:p w:rsidR="004D772D" w:rsidRPr="004D772D" w:rsidRDefault="004D772D" w:rsidP="004D772D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4D772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3 630,000</w:t>
            </w:r>
          </w:p>
        </w:tc>
      </w:tr>
    </w:tbl>
    <w:p w:rsidR="009845AD" w:rsidRDefault="009845AD" w:rsidP="00A46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2506B" w:rsidRPr="0002506B" w:rsidRDefault="0002506B" w:rsidP="0002506B">
      <w:pPr>
        <w:pStyle w:val="a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Pr="0002506B">
        <w:rPr>
          <w:sz w:val="28"/>
          <w:szCs w:val="28"/>
        </w:rPr>
        <w:t>ідповідно до комерційної про</w:t>
      </w:r>
      <w:r>
        <w:rPr>
          <w:sz w:val="28"/>
          <w:szCs w:val="28"/>
        </w:rPr>
        <w:t xml:space="preserve">позиції по коригуванню </w:t>
      </w:r>
      <w:proofErr w:type="spellStart"/>
      <w:r>
        <w:rPr>
          <w:sz w:val="28"/>
          <w:szCs w:val="28"/>
        </w:rPr>
        <w:t>проєктно</w:t>
      </w:r>
      <w:proofErr w:type="spellEnd"/>
      <w:r w:rsidRPr="0002506B">
        <w:rPr>
          <w:sz w:val="28"/>
          <w:szCs w:val="28"/>
        </w:rPr>
        <w:t>-кошт</w:t>
      </w:r>
      <w:r>
        <w:rPr>
          <w:sz w:val="28"/>
          <w:szCs w:val="28"/>
        </w:rPr>
        <w:t>о</w:t>
      </w:r>
      <w:r w:rsidRPr="0002506B">
        <w:rPr>
          <w:sz w:val="28"/>
          <w:szCs w:val="28"/>
        </w:rPr>
        <w:t xml:space="preserve">рисної документації та з метою підвищення рівня безпеки дітей, які перебувають у Центрі для дітей, під час виконання ремонтних робіт, пов’язаних з капітальним ремонтом найпростішого укриття підвального приміщення </w:t>
      </w:r>
      <w:r w:rsidRPr="0002506B">
        <w:rPr>
          <w:sz w:val="28"/>
          <w:szCs w:val="28"/>
        </w:rPr>
        <w:lastRenderedPageBreak/>
        <w:t xml:space="preserve">закладу, виникла потреба у здійсненні коригування </w:t>
      </w:r>
      <w:proofErr w:type="spellStart"/>
      <w:r w:rsidRPr="0002506B">
        <w:rPr>
          <w:sz w:val="28"/>
          <w:szCs w:val="28"/>
        </w:rPr>
        <w:t>проєктної</w:t>
      </w:r>
      <w:proofErr w:type="spellEnd"/>
      <w:r w:rsidRPr="0002506B">
        <w:rPr>
          <w:sz w:val="28"/>
          <w:szCs w:val="28"/>
        </w:rPr>
        <w:t xml:space="preserve"> документації по об’єкту: «Капітальний ремонт та облаштування найпростішого укриття підвального приміщення Центру соціально-психологічної реабілітації дітей Кременчуцької міської ради Кременчуцького району Полтавської області за адресою: проспект Свободи, 148».</w:t>
      </w:r>
    </w:p>
    <w:p w:rsidR="0002506B" w:rsidRPr="0002506B" w:rsidRDefault="0002506B" w:rsidP="0002506B">
      <w:pPr>
        <w:pStyle w:val="a5"/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8"/>
          <w:szCs w:val="28"/>
        </w:rPr>
      </w:pPr>
      <w:r w:rsidRPr="0002506B">
        <w:rPr>
          <w:sz w:val="28"/>
          <w:szCs w:val="28"/>
        </w:rPr>
        <w:t>Сума витрат на вищезазначені роботи становить 96 027,77 грн, а саме:</w:t>
      </w:r>
    </w:p>
    <w:p w:rsidR="0002506B" w:rsidRPr="0002506B" w:rsidRDefault="0002506B" w:rsidP="0002506B">
      <w:pPr>
        <w:pStyle w:val="a5"/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8"/>
          <w:szCs w:val="28"/>
        </w:rPr>
      </w:pPr>
      <w:r w:rsidRPr="0002506B">
        <w:rPr>
          <w:sz w:val="28"/>
          <w:szCs w:val="28"/>
        </w:rPr>
        <w:t xml:space="preserve">– коригування </w:t>
      </w:r>
      <w:proofErr w:type="spellStart"/>
      <w:r w:rsidRPr="0002506B">
        <w:rPr>
          <w:sz w:val="28"/>
          <w:szCs w:val="28"/>
        </w:rPr>
        <w:t>проєктно</w:t>
      </w:r>
      <w:proofErr w:type="spellEnd"/>
      <w:r w:rsidRPr="0002506B">
        <w:rPr>
          <w:sz w:val="28"/>
          <w:szCs w:val="28"/>
        </w:rPr>
        <w:t xml:space="preserve">-кошторисної документації  – 77 127,77 грн; </w:t>
      </w:r>
    </w:p>
    <w:p w:rsidR="0002506B" w:rsidRPr="0002506B" w:rsidRDefault="0002506B" w:rsidP="0002506B">
      <w:pPr>
        <w:pStyle w:val="a5"/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8"/>
          <w:szCs w:val="28"/>
        </w:rPr>
      </w:pPr>
      <w:r w:rsidRPr="0002506B">
        <w:rPr>
          <w:sz w:val="28"/>
          <w:szCs w:val="28"/>
        </w:rPr>
        <w:t xml:space="preserve">– експертиза проєкту – 18 900,00 грн. </w:t>
      </w:r>
    </w:p>
    <w:p w:rsidR="0002506B" w:rsidRDefault="0002506B" w:rsidP="0002506B">
      <w:pPr>
        <w:pStyle w:val="a5"/>
        <w:tabs>
          <w:tab w:val="left" w:pos="851"/>
          <w:tab w:val="left" w:pos="1134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2506B">
        <w:rPr>
          <w:sz w:val="28"/>
          <w:szCs w:val="28"/>
          <w:lang w:val="ru-RU"/>
        </w:rPr>
        <w:t>Видатки</w:t>
      </w:r>
      <w:proofErr w:type="spellEnd"/>
      <w:r w:rsidRPr="0002506B">
        <w:rPr>
          <w:sz w:val="28"/>
          <w:szCs w:val="28"/>
          <w:lang w:val="ru-RU"/>
        </w:rPr>
        <w:t xml:space="preserve"> на оплату </w:t>
      </w:r>
      <w:proofErr w:type="spellStart"/>
      <w:r w:rsidRPr="0002506B">
        <w:rPr>
          <w:sz w:val="28"/>
          <w:szCs w:val="28"/>
          <w:lang w:val="ru-RU"/>
        </w:rPr>
        <w:t>вищевказаних</w:t>
      </w:r>
      <w:proofErr w:type="spellEnd"/>
      <w:r w:rsidRPr="0002506B">
        <w:rPr>
          <w:sz w:val="28"/>
          <w:szCs w:val="28"/>
          <w:lang w:val="ru-RU"/>
        </w:rPr>
        <w:t xml:space="preserve"> </w:t>
      </w:r>
      <w:proofErr w:type="spellStart"/>
      <w:r w:rsidRPr="0002506B">
        <w:rPr>
          <w:sz w:val="28"/>
          <w:szCs w:val="28"/>
          <w:lang w:val="ru-RU"/>
        </w:rPr>
        <w:t>робіт</w:t>
      </w:r>
      <w:proofErr w:type="spellEnd"/>
      <w:r w:rsidRPr="0002506B">
        <w:rPr>
          <w:sz w:val="28"/>
          <w:szCs w:val="28"/>
          <w:lang w:val="ru-RU"/>
        </w:rPr>
        <w:t xml:space="preserve"> у </w:t>
      </w:r>
      <w:proofErr w:type="spellStart"/>
      <w:r w:rsidRPr="0002506B">
        <w:rPr>
          <w:sz w:val="28"/>
          <w:szCs w:val="28"/>
          <w:lang w:val="ru-RU"/>
        </w:rPr>
        <w:t>кошторисі</w:t>
      </w:r>
      <w:proofErr w:type="spellEnd"/>
      <w:r w:rsidRPr="0002506B">
        <w:rPr>
          <w:sz w:val="28"/>
          <w:szCs w:val="28"/>
          <w:lang w:val="ru-RU"/>
        </w:rPr>
        <w:t xml:space="preserve"> Центру для </w:t>
      </w:r>
      <w:proofErr w:type="spellStart"/>
      <w:r w:rsidRPr="0002506B">
        <w:rPr>
          <w:sz w:val="28"/>
          <w:szCs w:val="28"/>
          <w:lang w:val="ru-RU"/>
        </w:rPr>
        <w:t>дітей</w:t>
      </w:r>
      <w:proofErr w:type="spellEnd"/>
      <w:r w:rsidRPr="0002506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та </w:t>
      </w:r>
      <w:r w:rsidRPr="009845AD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міській</w:t>
      </w:r>
      <w:r w:rsidRPr="004D772D">
        <w:rPr>
          <w:color w:val="000000"/>
          <w:sz w:val="28"/>
          <w:szCs w:val="28"/>
        </w:rPr>
        <w:t xml:space="preserve"> цільов</w:t>
      </w:r>
      <w:r>
        <w:rPr>
          <w:color w:val="000000"/>
          <w:sz w:val="28"/>
          <w:szCs w:val="28"/>
        </w:rPr>
        <w:t>ій</w:t>
      </w:r>
      <w:r w:rsidRPr="004D772D">
        <w:rPr>
          <w:color w:val="000000"/>
          <w:sz w:val="28"/>
          <w:szCs w:val="28"/>
        </w:rPr>
        <w:t xml:space="preserve"> програм</w:t>
      </w:r>
      <w:r>
        <w:rPr>
          <w:color w:val="000000"/>
          <w:sz w:val="28"/>
          <w:szCs w:val="28"/>
        </w:rPr>
        <w:t>і</w:t>
      </w:r>
      <w:r w:rsidRPr="004D772D">
        <w:rPr>
          <w:color w:val="000000"/>
          <w:sz w:val="28"/>
          <w:szCs w:val="28"/>
        </w:rPr>
        <w:t xml:space="preserve"> «Діти Кременчука» на 2021-</w:t>
      </w:r>
      <w:r>
        <w:rPr>
          <w:color w:val="000000"/>
          <w:sz w:val="28"/>
          <w:szCs w:val="28"/>
        </w:rPr>
        <w:t xml:space="preserve">   </w:t>
      </w:r>
      <w:r w:rsidRPr="004D772D">
        <w:rPr>
          <w:color w:val="000000"/>
          <w:sz w:val="28"/>
          <w:szCs w:val="28"/>
        </w:rPr>
        <w:t>2025 роки</w:t>
      </w:r>
      <w:r>
        <w:rPr>
          <w:color w:val="000000"/>
          <w:sz w:val="28"/>
          <w:szCs w:val="28"/>
        </w:rPr>
        <w:t xml:space="preserve"> </w:t>
      </w:r>
      <w:r w:rsidRPr="009845AD">
        <w:rPr>
          <w:color w:val="000000"/>
          <w:sz w:val="28"/>
          <w:szCs w:val="28"/>
        </w:rPr>
        <w:t>на 2024 рік не передбачені</w:t>
      </w:r>
      <w:r>
        <w:rPr>
          <w:color w:val="000000"/>
          <w:sz w:val="28"/>
          <w:szCs w:val="28"/>
        </w:rPr>
        <w:t>.</w:t>
      </w:r>
    </w:p>
    <w:p w:rsidR="0002506B" w:rsidRPr="0002506B" w:rsidRDefault="0002506B" w:rsidP="0002506B">
      <w:pPr>
        <w:pStyle w:val="a5"/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Також, </w:t>
      </w:r>
      <w:r w:rsidRPr="0002506B">
        <w:rPr>
          <w:sz w:val="28"/>
          <w:szCs w:val="28"/>
        </w:rPr>
        <w:t>у межах співпраці з GLOBAL EMPOWERMENT MISSION у Центрі для дітей, за адресою: м. Кременчук, проспект Свободи, 148,  було безкоштовно встановлено нові металопластикові вікна ТОВ «</w:t>
      </w:r>
      <w:proofErr w:type="spellStart"/>
      <w:r w:rsidRPr="0002506B">
        <w:rPr>
          <w:sz w:val="28"/>
          <w:szCs w:val="28"/>
        </w:rPr>
        <w:t>Оконіка</w:t>
      </w:r>
      <w:proofErr w:type="spellEnd"/>
      <w:r w:rsidRPr="0002506B">
        <w:rPr>
          <w:sz w:val="28"/>
          <w:szCs w:val="28"/>
        </w:rPr>
        <w:t>» без заміни підвіконних дошок та укосів.</w:t>
      </w:r>
    </w:p>
    <w:p w:rsidR="0002506B" w:rsidRPr="0002506B" w:rsidRDefault="0002506B" w:rsidP="0002506B">
      <w:pPr>
        <w:pStyle w:val="a5"/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8"/>
          <w:szCs w:val="28"/>
        </w:rPr>
      </w:pPr>
      <w:r w:rsidRPr="0002506B">
        <w:rPr>
          <w:sz w:val="28"/>
          <w:szCs w:val="28"/>
        </w:rPr>
        <w:t>Вартість робіт по заміні підвіконних дошок, ремонту укосів та установці москітних сіток у приміщенні Центру для дітей складає 339 480,00 грн</w:t>
      </w:r>
      <w:r>
        <w:rPr>
          <w:sz w:val="28"/>
          <w:szCs w:val="28"/>
        </w:rPr>
        <w:t>.</w:t>
      </w:r>
    </w:p>
    <w:p w:rsidR="0002506B" w:rsidRDefault="0002506B" w:rsidP="0002506B">
      <w:pPr>
        <w:pStyle w:val="a5"/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8"/>
          <w:szCs w:val="28"/>
        </w:rPr>
      </w:pPr>
      <w:r w:rsidRPr="0002506B">
        <w:rPr>
          <w:sz w:val="28"/>
          <w:szCs w:val="28"/>
        </w:rPr>
        <w:t>Видатки на оплату вищевказаних робіт у кошторисі Центру для дітей та у міській цільовій прог</w:t>
      </w:r>
      <w:r w:rsidR="00383502">
        <w:rPr>
          <w:sz w:val="28"/>
          <w:szCs w:val="28"/>
        </w:rPr>
        <w:t>рамі «Діти Кременчука» на 2021-</w:t>
      </w:r>
      <w:bookmarkStart w:id="0" w:name="_GoBack"/>
      <w:bookmarkEnd w:id="0"/>
      <w:r w:rsidRPr="0002506B">
        <w:rPr>
          <w:sz w:val="28"/>
          <w:szCs w:val="28"/>
        </w:rPr>
        <w:t>2025 роки на 2024 рік не передбачені.</w:t>
      </w:r>
    </w:p>
    <w:p w:rsidR="0002506B" w:rsidRDefault="0002506B" w:rsidP="00025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84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Виходячи з вищевикладеного, є необхідність у внесенні змін до рішення, а саме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984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розділу «</w:t>
      </w:r>
      <w:r w:rsidRPr="00A44F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V. Програма діяльності Центру соціально-психологічної реабілітації дітей Кременчуцької міської ради Кременчуцького району Полтавської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пункту «5</w:t>
      </w:r>
      <w:r w:rsidRPr="00A44F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0250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Створення безпечних умов перебування дітей на період дії воєнного стану в Україні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6633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63328" w:rsidRPr="004D772D" w:rsidRDefault="00663328" w:rsidP="00663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4D7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Стара редакція: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1275"/>
        <w:gridCol w:w="1134"/>
        <w:gridCol w:w="1134"/>
        <w:gridCol w:w="1026"/>
      </w:tblGrid>
      <w:tr w:rsidR="00663328" w:rsidRPr="00663328" w:rsidTr="003715DE">
        <w:tc>
          <w:tcPr>
            <w:tcW w:w="534" w:type="dxa"/>
            <w:vMerge w:val="restart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№ з/п</w:t>
            </w:r>
          </w:p>
        </w:tc>
        <w:tc>
          <w:tcPr>
            <w:tcW w:w="3402" w:type="dxa"/>
            <w:vMerge w:val="restart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Статті витрат</w:t>
            </w:r>
          </w:p>
        </w:tc>
        <w:tc>
          <w:tcPr>
            <w:tcW w:w="5703" w:type="dxa"/>
            <w:gridSpan w:val="5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Необхідне фінансування по рокам, тис грн</w:t>
            </w:r>
          </w:p>
        </w:tc>
      </w:tr>
      <w:tr w:rsidR="00663328" w:rsidRPr="00663328" w:rsidTr="003715DE">
        <w:tc>
          <w:tcPr>
            <w:tcW w:w="534" w:type="dxa"/>
            <w:vMerge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  <w:vMerge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134" w:type="dxa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2021 рік</w:t>
            </w:r>
          </w:p>
        </w:tc>
        <w:tc>
          <w:tcPr>
            <w:tcW w:w="1275" w:type="dxa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2022 рік</w:t>
            </w:r>
          </w:p>
        </w:tc>
        <w:tc>
          <w:tcPr>
            <w:tcW w:w="1134" w:type="dxa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2023 рік</w:t>
            </w:r>
          </w:p>
        </w:tc>
        <w:tc>
          <w:tcPr>
            <w:tcW w:w="1134" w:type="dxa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2024 рік</w:t>
            </w:r>
          </w:p>
        </w:tc>
        <w:tc>
          <w:tcPr>
            <w:tcW w:w="1026" w:type="dxa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2025 рік</w:t>
            </w:r>
          </w:p>
        </w:tc>
      </w:tr>
      <w:tr w:rsidR="00663328" w:rsidRPr="00663328" w:rsidTr="003715DE">
        <w:tc>
          <w:tcPr>
            <w:tcW w:w="534" w:type="dxa"/>
            <w:vMerge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Загальне фінансування за програмою: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3715DE">
            <w:pPr>
              <w:tabs>
                <w:tab w:val="left" w:pos="1035"/>
                <w:tab w:val="left" w:pos="1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7 826,104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5 935,580</w:t>
            </w:r>
          </w:p>
        </w:tc>
        <w:tc>
          <w:tcPr>
            <w:tcW w:w="1026" w:type="dxa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</w:tr>
      <w:tr w:rsidR="00663328" w:rsidRPr="00663328" w:rsidTr="003715DE">
        <w:tc>
          <w:tcPr>
            <w:tcW w:w="534" w:type="dxa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lang w:val="uk-UA" w:eastAsia="ar-SA"/>
              </w:rPr>
              <w:t>1.</w:t>
            </w:r>
          </w:p>
        </w:tc>
        <w:tc>
          <w:tcPr>
            <w:tcW w:w="3402" w:type="dxa"/>
            <w:vAlign w:val="center"/>
          </w:tcPr>
          <w:p w:rsidR="00663328" w:rsidRPr="00663328" w:rsidRDefault="00663328" w:rsidP="003715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Капітальний ремонт та облаштування найпростішого укриття підвального приміщення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3715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663328" w:rsidRPr="00663328" w:rsidRDefault="00663328" w:rsidP="003715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3715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6 846,104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4 0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00</w:t>
            </w: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0</w:t>
            </w: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 xml:space="preserve">00 </w:t>
            </w:r>
          </w:p>
        </w:tc>
        <w:tc>
          <w:tcPr>
            <w:tcW w:w="1026" w:type="dxa"/>
            <w:vAlign w:val="center"/>
          </w:tcPr>
          <w:p w:rsidR="00663328" w:rsidRPr="00663328" w:rsidRDefault="00663328" w:rsidP="003715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</w:tr>
      <w:tr w:rsidR="00663328" w:rsidRPr="00663328" w:rsidTr="003715DE">
        <w:tc>
          <w:tcPr>
            <w:tcW w:w="534" w:type="dxa"/>
            <w:vAlign w:val="center"/>
          </w:tcPr>
          <w:p w:rsidR="00663328" w:rsidRPr="00663328" w:rsidRDefault="00663328" w:rsidP="003715DE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lang w:val="uk-UA" w:eastAsia="ar-SA"/>
              </w:rPr>
              <w:t>2.</w:t>
            </w:r>
          </w:p>
        </w:tc>
        <w:tc>
          <w:tcPr>
            <w:tcW w:w="3402" w:type="dxa"/>
            <w:vAlign w:val="center"/>
          </w:tcPr>
          <w:p w:rsidR="00663328" w:rsidRPr="00663328" w:rsidRDefault="00663328" w:rsidP="003715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Капітальний ремонт вимощення з улаштуванням запасних виходів з будівлі Центру соціально-психологічної реабілітації дітей Кременчуцької міської ради Кременчуцького району Полтавської області за </w:t>
            </w:r>
            <w:r w:rsidRPr="006633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lastRenderedPageBreak/>
              <w:t>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3715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lastRenderedPageBreak/>
              <w:t>-</w:t>
            </w:r>
          </w:p>
        </w:tc>
        <w:tc>
          <w:tcPr>
            <w:tcW w:w="1275" w:type="dxa"/>
            <w:vAlign w:val="center"/>
          </w:tcPr>
          <w:p w:rsidR="00663328" w:rsidRPr="00663328" w:rsidRDefault="00663328" w:rsidP="003715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3715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980,000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3715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1 500,000</w:t>
            </w:r>
          </w:p>
        </w:tc>
        <w:tc>
          <w:tcPr>
            <w:tcW w:w="1026" w:type="dxa"/>
            <w:vAlign w:val="center"/>
          </w:tcPr>
          <w:p w:rsidR="00663328" w:rsidRPr="00663328" w:rsidRDefault="00663328" w:rsidP="003715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</w:tr>
    </w:tbl>
    <w:p w:rsidR="00663328" w:rsidRDefault="00663328" w:rsidP="00025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63328" w:rsidRPr="00663328" w:rsidRDefault="00663328" w:rsidP="00025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663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Нова редакція: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1275"/>
        <w:gridCol w:w="1134"/>
        <w:gridCol w:w="1134"/>
        <w:gridCol w:w="1026"/>
      </w:tblGrid>
      <w:tr w:rsidR="00663328" w:rsidRPr="00663328" w:rsidTr="003715DE">
        <w:tc>
          <w:tcPr>
            <w:tcW w:w="534" w:type="dxa"/>
            <w:vMerge w:val="restart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№ з/п</w:t>
            </w:r>
          </w:p>
        </w:tc>
        <w:tc>
          <w:tcPr>
            <w:tcW w:w="3402" w:type="dxa"/>
            <w:vMerge w:val="restart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Статті витрат</w:t>
            </w:r>
          </w:p>
        </w:tc>
        <w:tc>
          <w:tcPr>
            <w:tcW w:w="5703" w:type="dxa"/>
            <w:gridSpan w:val="5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Необхідне фінансування по рокам, тис грн</w:t>
            </w:r>
          </w:p>
        </w:tc>
      </w:tr>
      <w:tr w:rsidR="00663328" w:rsidRPr="00663328" w:rsidTr="003715DE">
        <w:tc>
          <w:tcPr>
            <w:tcW w:w="534" w:type="dxa"/>
            <w:vMerge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  <w:vMerge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134" w:type="dxa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2021 рік</w:t>
            </w:r>
          </w:p>
        </w:tc>
        <w:tc>
          <w:tcPr>
            <w:tcW w:w="1275" w:type="dxa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2022 рік</w:t>
            </w:r>
          </w:p>
        </w:tc>
        <w:tc>
          <w:tcPr>
            <w:tcW w:w="1134" w:type="dxa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2023 рік</w:t>
            </w:r>
          </w:p>
        </w:tc>
        <w:tc>
          <w:tcPr>
            <w:tcW w:w="1134" w:type="dxa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2024 рік</w:t>
            </w:r>
          </w:p>
        </w:tc>
        <w:tc>
          <w:tcPr>
            <w:tcW w:w="1026" w:type="dxa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2025 рік</w:t>
            </w:r>
          </w:p>
        </w:tc>
      </w:tr>
      <w:tr w:rsidR="00663328" w:rsidRPr="00663328" w:rsidTr="003715DE">
        <w:tc>
          <w:tcPr>
            <w:tcW w:w="534" w:type="dxa"/>
            <w:vMerge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Загальне фінансування за програмою: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663328">
            <w:pPr>
              <w:tabs>
                <w:tab w:val="left" w:pos="1035"/>
                <w:tab w:val="left" w:pos="1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7 826,104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5 935,580</w:t>
            </w:r>
          </w:p>
        </w:tc>
        <w:tc>
          <w:tcPr>
            <w:tcW w:w="1026" w:type="dxa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</w:tr>
      <w:tr w:rsidR="00663328" w:rsidRPr="00663328" w:rsidTr="003715DE">
        <w:tc>
          <w:tcPr>
            <w:tcW w:w="534" w:type="dxa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lang w:val="uk-UA" w:eastAsia="ar-SA"/>
              </w:rPr>
              <w:t>1.</w:t>
            </w:r>
          </w:p>
        </w:tc>
        <w:tc>
          <w:tcPr>
            <w:tcW w:w="3402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Капітальний ремонт та облаштування найпростішого укриття підвального приміщення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6 846,104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 xml:space="preserve">4 096,100 </w:t>
            </w:r>
          </w:p>
        </w:tc>
        <w:tc>
          <w:tcPr>
            <w:tcW w:w="1026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</w:tr>
      <w:tr w:rsidR="00663328" w:rsidRPr="00663328" w:rsidTr="003715DE">
        <w:tc>
          <w:tcPr>
            <w:tcW w:w="534" w:type="dxa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lang w:val="uk-UA" w:eastAsia="ar-SA"/>
              </w:rPr>
              <w:t>2.</w:t>
            </w:r>
          </w:p>
        </w:tc>
        <w:tc>
          <w:tcPr>
            <w:tcW w:w="3402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Капітальний ремонт вимощення з улаштуванням запасних виходів з будівлі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980,000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1 500,000</w:t>
            </w:r>
          </w:p>
        </w:tc>
        <w:tc>
          <w:tcPr>
            <w:tcW w:w="1026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</w:tr>
      <w:tr w:rsidR="00663328" w:rsidRPr="00663328" w:rsidTr="003715DE">
        <w:tc>
          <w:tcPr>
            <w:tcW w:w="534" w:type="dxa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lang w:val="uk-UA" w:eastAsia="ar-SA"/>
              </w:rPr>
              <w:t>3</w:t>
            </w:r>
          </w:p>
        </w:tc>
        <w:tc>
          <w:tcPr>
            <w:tcW w:w="3402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Капітальний ремонт укосів, заміна підвіконних дошок на металопластикові та установка москітних сіток будівлі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339,480</w:t>
            </w:r>
          </w:p>
        </w:tc>
        <w:tc>
          <w:tcPr>
            <w:tcW w:w="1026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</w:tr>
    </w:tbl>
    <w:p w:rsidR="00663328" w:rsidRDefault="00663328" w:rsidP="00025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2506B" w:rsidRDefault="008D069B" w:rsidP="0002506B">
      <w:pPr>
        <w:pStyle w:val="a5"/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8"/>
          <w:szCs w:val="28"/>
        </w:rPr>
      </w:pPr>
      <w:r w:rsidRPr="00614408">
        <w:rPr>
          <w:sz w:val="28"/>
          <w:szCs w:val="28"/>
          <w:lang w:eastAsia="uk-UA"/>
        </w:rPr>
        <w:t>У зв’язку із вищевикладеним</w:t>
      </w:r>
      <w:r>
        <w:rPr>
          <w:sz w:val="28"/>
          <w:szCs w:val="28"/>
          <w:lang w:eastAsia="uk-UA"/>
        </w:rPr>
        <w:t>,</w:t>
      </w:r>
      <w:r w:rsidRPr="00614408">
        <w:rPr>
          <w:sz w:val="28"/>
          <w:szCs w:val="28"/>
          <w:lang w:eastAsia="uk-UA"/>
        </w:rPr>
        <w:t xml:space="preserve"> існує необхідність у </w:t>
      </w:r>
      <w:r w:rsidR="002F0BCC">
        <w:rPr>
          <w:sz w:val="28"/>
          <w:szCs w:val="28"/>
          <w:lang w:eastAsia="uk-UA"/>
        </w:rPr>
        <w:t xml:space="preserve">викладені </w:t>
      </w:r>
      <w:r>
        <w:rPr>
          <w:sz w:val="28"/>
          <w:szCs w:val="28"/>
          <w:lang w:eastAsia="uk-UA"/>
        </w:rPr>
        <w:t xml:space="preserve">міської цільової програми «Діти Кременчука» на 2021-2025 роки </w:t>
      </w:r>
      <w:r w:rsidRPr="00614408">
        <w:rPr>
          <w:sz w:val="28"/>
          <w:szCs w:val="28"/>
          <w:lang w:eastAsia="uk-UA"/>
        </w:rPr>
        <w:t>у новій редакції</w:t>
      </w:r>
      <w:r>
        <w:rPr>
          <w:sz w:val="28"/>
          <w:szCs w:val="28"/>
          <w:lang w:eastAsia="uk-UA"/>
        </w:rPr>
        <w:t>.</w:t>
      </w:r>
    </w:p>
    <w:p w:rsidR="0002506B" w:rsidRPr="0002506B" w:rsidRDefault="0002506B" w:rsidP="0002506B">
      <w:pPr>
        <w:pStyle w:val="a5"/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8"/>
          <w:szCs w:val="28"/>
        </w:rPr>
      </w:pPr>
    </w:p>
    <w:p w:rsidR="00A7605F" w:rsidRDefault="00A7605F" w:rsidP="00B62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B6270D" w:rsidRPr="00B6270D" w:rsidRDefault="00C66B20" w:rsidP="00B62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Директор Департаменту</w:t>
      </w:r>
    </w:p>
    <w:p w:rsidR="00B6270D" w:rsidRPr="00B6270D" w:rsidRDefault="00B6270D" w:rsidP="00B62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6270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у справах сімей та дітей </w:t>
      </w:r>
    </w:p>
    <w:p w:rsidR="00C66B20" w:rsidRDefault="00B6270D" w:rsidP="00B62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6270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Кременчуцької міської ради</w:t>
      </w:r>
      <w:r w:rsidRPr="00B6270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</w:p>
    <w:p w:rsidR="00C66B20" w:rsidRDefault="00C66B20" w:rsidP="00B62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Кременчуцького району </w:t>
      </w:r>
    </w:p>
    <w:p w:rsidR="00B6270D" w:rsidRPr="00B6270D" w:rsidRDefault="00C66B20" w:rsidP="00B62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Полтавської області</w:t>
      </w:r>
      <w:r w:rsidR="00B6270D" w:rsidRPr="00B6270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="00B6270D" w:rsidRPr="00B6270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</w:t>
      </w:r>
      <w:r w:rsidR="00C9132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Ігор ШТЕФАН</w:t>
      </w:r>
    </w:p>
    <w:p w:rsidR="004D793C" w:rsidRPr="00383934" w:rsidRDefault="004D793C" w:rsidP="00B627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D793C" w:rsidRPr="00383934" w:rsidSect="00B6270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BF2"/>
    <w:multiLevelType w:val="hybridMultilevel"/>
    <w:tmpl w:val="985218A0"/>
    <w:lvl w:ilvl="0" w:tplc="266C6F6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38"/>
    <w:rsid w:val="00010250"/>
    <w:rsid w:val="0002506B"/>
    <w:rsid w:val="000B4F30"/>
    <w:rsid w:val="00122427"/>
    <w:rsid w:val="00203978"/>
    <w:rsid w:val="00213AEF"/>
    <w:rsid w:val="00272149"/>
    <w:rsid w:val="002726BA"/>
    <w:rsid w:val="00274D7B"/>
    <w:rsid w:val="002C405A"/>
    <w:rsid w:val="002D788F"/>
    <w:rsid w:val="002F0BCC"/>
    <w:rsid w:val="002F61FF"/>
    <w:rsid w:val="003555E2"/>
    <w:rsid w:val="00367CC8"/>
    <w:rsid w:val="00383502"/>
    <w:rsid w:val="00383934"/>
    <w:rsid w:val="00384F9B"/>
    <w:rsid w:val="003933EE"/>
    <w:rsid w:val="003A016A"/>
    <w:rsid w:val="003A2E82"/>
    <w:rsid w:val="003B66F4"/>
    <w:rsid w:val="003E6821"/>
    <w:rsid w:val="00456F63"/>
    <w:rsid w:val="004D772D"/>
    <w:rsid w:val="004D793C"/>
    <w:rsid w:val="005077C9"/>
    <w:rsid w:val="005C4A9C"/>
    <w:rsid w:val="00614408"/>
    <w:rsid w:val="00663328"/>
    <w:rsid w:val="00674183"/>
    <w:rsid w:val="0067483A"/>
    <w:rsid w:val="006E6EC7"/>
    <w:rsid w:val="006F3A38"/>
    <w:rsid w:val="0071619C"/>
    <w:rsid w:val="007C3E78"/>
    <w:rsid w:val="007F69CA"/>
    <w:rsid w:val="00806930"/>
    <w:rsid w:val="00841806"/>
    <w:rsid w:val="00856D13"/>
    <w:rsid w:val="008C16E5"/>
    <w:rsid w:val="008D069B"/>
    <w:rsid w:val="009115C7"/>
    <w:rsid w:val="00975E96"/>
    <w:rsid w:val="009845AD"/>
    <w:rsid w:val="009A2FC8"/>
    <w:rsid w:val="00A44F8B"/>
    <w:rsid w:val="00A469FE"/>
    <w:rsid w:val="00A52DEA"/>
    <w:rsid w:val="00A7605F"/>
    <w:rsid w:val="00A92333"/>
    <w:rsid w:val="00AA215F"/>
    <w:rsid w:val="00AC57E0"/>
    <w:rsid w:val="00AC62A6"/>
    <w:rsid w:val="00B439F7"/>
    <w:rsid w:val="00B6270D"/>
    <w:rsid w:val="00BE61A4"/>
    <w:rsid w:val="00C4319C"/>
    <w:rsid w:val="00C66B20"/>
    <w:rsid w:val="00C6734B"/>
    <w:rsid w:val="00C9132C"/>
    <w:rsid w:val="00CB7536"/>
    <w:rsid w:val="00D17727"/>
    <w:rsid w:val="00D51C84"/>
    <w:rsid w:val="00DA5E40"/>
    <w:rsid w:val="00E814BB"/>
    <w:rsid w:val="00E972E7"/>
    <w:rsid w:val="00EF609B"/>
    <w:rsid w:val="00F25CA2"/>
    <w:rsid w:val="00F60B61"/>
    <w:rsid w:val="00F85BF8"/>
    <w:rsid w:val="00F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8AAB"/>
  <w15:docId w15:val="{A3BA6EC6-E471-448E-9227-66AD8BEB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83A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748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721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8C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1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Olga Polushko</cp:lastModifiedBy>
  <cp:revision>3</cp:revision>
  <cp:lastPrinted>2024-04-03T14:17:00Z</cp:lastPrinted>
  <dcterms:created xsi:type="dcterms:W3CDTF">2024-04-03T13:17:00Z</dcterms:created>
  <dcterms:modified xsi:type="dcterms:W3CDTF">2024-04-03T14:17:00Z</dcterms:modified>
</cp:coreProperties>
</file>