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78" w:rsidRPr="00445F84" w:rsidRDefault="00096878" w:rsidP="00322D60">
      <w:pPr>
        <w:jc w:val="center"/>
        <w:rPr>
          <w:rFonts w:eastAsia="Calibri"/>
          <w:b/>
          <w:color w:val="000000"/>
          <w:sz w:val="32"/>
          <w:szCs w:val="32"/>
          <w:lang w:eastAsia="en-US"/>
        </w:rPr>
      </w:pPr>
      <w:r w:rsidRPr="00445F84">
        <w:rPr>
          <w:rFonts w:eastAsia="Calibri"/>
          <w:b/>
          <w:color w:val="000000"/>
          <w:sz w:val="32"/>
          <w:szCs w:val="32"/>
          <w:lang w:eastAsia="en-US"/>
        </w:rPr>
        <w:t>ПОЯСНЮВАЛЬНА ЗАПИСКА</w:t>
      </w:r>
    </w:p>
    <w:p w:rsidR="00DB30E2" w:rsidRDefault="00096878" w:rsidP="00D038CF">
      <w:pPr>
        <w:spacing w:after="120"/>
        <w:jc w:val="center"/>
        <w:rPr>
          <w:b/>
          <w:szCs w:val="28"/>
        </w:rPr>
      </w:pPr>
      <w:r w:rsidRPr="00445F84">
        <w:rPr>
          <w:rFonts w:eastAsia="Calibri"/>
          <w:b/>
          <w:color w:val="000000"/>
          <w:szCs w:val="28"/>
          <w:lang w:eastAsia="en-US"/>
        </w:rPr>
        <w:t xml:space="preserve">до </w:t>
      </w:r>
      <w:proofErr w:type="spellStart"/>
      <w:r w:rsidRPr="00445F84">
        <w:rPr>
          <w:rFonts w:eastAsia="Calibri"/>
          <w:b/>
          <w:color w:val="000000"/>
          <w:szCs w:val="28"/>
          <w:lang w:eastAsia="en-US"/>
        </w:rPr>
        <w:t>про</w:t>
      </w:r>
      <w:r w:rsidR="00322D60">
        <w:rPr>
          <w:rFonts w:eastAsia="Calibri"/>
          <w:b/>
          <w:color w:val="000000"/>
          <w:szCs w:val="28"/>
          <w:lang w:eastAsia="en-US"/>
        </w:rPr>
        <w:t>є</w:t>
      </w:r>
      <w:r w:rsidRPr="00445F84">
        <w:rPr>
          <w:rFonts w:eastAsia="Calibri"/>
          <w:b/>
          <w:color w:val="000000"/>
          <w:szCs w:val="28"/>
          <w:lang w:eastAsia="en-US"/>
        </w:rPr>
        <w:t>кту</w:t>
      </w:r>
      <w:proofErr w:type="spellEnd"/>
      <w:r w:rsidRPr="00445F84">
        <w:rPr>
          <w:rFonts w:eastAsia="Calibri"/>
          <w:b/>
          <w:color w:val="000000"/>
          <w:szCs w:val="28"/>
          <w:lang w:eastAsia="en-US"/>
        </w:rPr>
        <w:t xml:space="preserve"> рішення Кременчуцької міської ради</w:t>
      </w:r>
      <w:r w:rsidR="00322D60">
        <w:rPr>
          <w:rFonts w:eastAsia="Calibri"/>
          <w:b/>
          <w:color w:val="000000"/>
          <w:szCs w:val="28"/>
          <w:lang w:eastAsia="en-US"/>
        </w:rPr>
        <w:t xml:space="preserve"> </w:t>
      </w:r>
      <w:r w:rsidR="005A7991">
        <w:rPr>
          <w:rFonts w:eastAsia="Calibri"/>
          <w:b/>
          <w:color w:val="000000"/>
          <w:szCs w:val="28"/>
          <w:lang w:eastAsia="en-US"/>
        </w:rPr>
        <w:t xml:space="preserve">Кременчуцького району </w:t>
      </w:r>
      <w:r w:rsidR="00322D60">
        <w:rPr>
          <w:rFonts w:eastAsia="Calibri"/>
          <w:b/>
          <w:color w:val="000000"/>
          <w:szCs w:val="28"/>
          <w:lang w:eastAsia="en-US"/>
        </w:rPr>
        <w:t>Полтавської області</w:t>
      </w:r>
      <w:r w:rsidR="005A7991">
        <w:rPr>
          <w:rFonts w:eastAsia="Calibri"/>
          <w:b/>
          <w:color w:val="000000"/>
          <w:szCs w:val="28"/>
          <w:lang w:eastAsia="en-US"/>
        </w:rPr>
        <w:t xml:space="preserve"> </w:t>
      </w:r>
      <w:r w:rsidRPr="00445F84">
        <w:rPr>
          <w:b/>
          <w:szCs w:val="28"/>
        </w:rPr>
        <w:t xml:space="preserve"> «</w:t>
      </w:r>
      <w:r w:rsidR="00B92C04" w:rsidRPr="00B92C04">
        <w:rPr>
          <w:b/>
          <w:szCs w:val="28"/>
        </w:rPr>
        <w:t>Про внесення змін до рішення Кременчуцької міської ради Кременчуцького району Полтавської області від 27 травня 2022 року «Про затвердження комплексної програми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на 2021-2025 роки у новій редакції»</w:t>
      </w:r>
    </w:p>
    <w:p w:rsidR="00F32995" w:rsidRPr="007D2A81" w:rsidRDefault="00F32995" w:rsidP="00145A8D">
      <w:pPr>
        <w:tabs>
          <w:tab w:val="left" w:pos="0"/>
          <w:tab w:val="left" w:pos="709"/>
          <w:tab w:val="left" w:pos="993"/>
        </w:tabs>
        <w:autoSpaceDE w:val="0"/>
        <w:ind w:firstLine="567"/>
        <w:jc w:val="both"/>
        <w:rPr>
          <w:szCs w:val="28"/>
        </w:rPr>
      </w:pPr>
      <w:r w:rsidRPr="007D2A81">
        <w:rPr>
          <w:color w:val="000000"/>
          <w:szCs w:val="28"/>
        </w:rPr>
        <w:t>Департаменту у справах сімей та дітей Кременчуцької міської ради Кременчуцького району Полтавської області підпорядковане комунальне некомерційне підприємство «Д</w:t>
      </w:r>
      <w:r w:rsidRPr="007D2A81">
        <w:rPr>
          <w:szCs w:val="28"/>
        </w:rPr>
        <w:t>итячий заклад оздоровлення та відпочинку «Зоряний» Кременчуцької міської ради</w:t>
      </w:r>
      <w:r w:rsidRPr="007D2A81">
        <w:rPr>
          <w:color w:val="000000"/>
          <w:szCs w:val="28"/>
        </w:rPr>
        <w:t xml:space="preserve"> Кременчуцького району Полтавської області</w:t>
      </w:r>
      <w:r w:rsidR="00436C12">
        <w:rPr>
          <w:color w:val="000000"/>
          <w:szCs w:val="28"/>
        </w:rPr>
        <w:t xml:space="preserve"> (далі – </w:t>
      </w:r>
      <w:r w:rsidR="005F6273" w:rsidRPr="005F6273">
        <w:rPr>
          <w:color w:val="000000"/>
          <w:szCs w:val="28"/>
        </w:rPr>
        <w:t>КНП «ДЗОВ «Зоряний»</w:t>
      </w:r>
      <w:r w:rsidR="00436C12" w:rsidRPr="005F6273">
        <w:rPr>
          <w:color w:val="000000"/>
          <w:szCs w:val="28"/>
        </w:rPr>
        <w:t>)</w:t>
      </w:r>
      <w:r w:rsidRPr="005F6273">
        <w:rPr>
          <w:color w:val="000000"/>
          <w:szCs w:val="28"/>
        </w:rPr>
        <w:t>.</w:t>
      </w:r>
      <w:r w:rsidRPr="007D2A81">
        <w:rPr>
          <w:szCs w:val="28"/>
        </w:rPr>
        <w:t xml:space="preserve"> </w:t>
      </w:r>
    </w:p>
    <w:p w:rsidR="00F32995" w:rsidRPr="007D2A81" w:rsidRDefault="00257EA8" w:rsidP="00145A8D">
      <w:pPr>
        <w:ind w:firstLine="567"/>
        <w:jc w:val="both"/>
        <w:rPr>
          <w:szCs w:val="28"/>
        </w:rPr>
      </w:pPr>
      <w:r w:rsidRPr="00257EA8">
        <w:rPr>
          <w:color w:val="000000"/>
          <w:szCs w:val="28"/>
        </w:rPr>
        <w:t xml:space="preserve">У зв’язку з військовою агресією російської федерації проти України, </w:t>
      </w:r>
      <w:r w:rsidR="00F06DE8">
        <w:rPr>
          <w:color w:val="000000"/>
          <w:szCs w:val="28"/>
        </w:rPr>
        <w:t xml:space="preserve">згідно з </w:t>
      </w:r>
      <w:r w:rsidR="007873CD">
        <w:rPr>
          <w:color w:val="000000"/>
          <w:szCs w:val="28"/>
        </w:rPr>
        <w:t>Указ</w:t>
      </w:r>
      <w:r w:rsidR="00F06DE8">
        <w:rPr>
          <w:color w:val="000000"/>
          <w:szCs w:val="28"/>
        </w:rPr>
        <w:t>ом</w:t>
      </w:r>
      <w:r w:rsidRPr="00257EA8">
        <w:rPr>
          <w:color w:val="000000"/>
          <w:szCs w:val="28"/>
        </w:rPr>
        <w:t xml:space="preserve"> Президента України від 24 лютого 2022 року № 64/2022 «Про введення воєнного стану в Україні»</w:t>
      </w:r>
      <w:r w:rsidR="007873CD">
        <w:rPr>
          <w:color w:val="000000"/>
          <w:szCs w:val="28"/>
        </w:rPr>
        <w:t xml:space="preserve"> (зі змінами щодо п</w:t>
      </w:r>
      <w:r w:rsidR="00F32995" w:rsidRPr="007D2A81">
        <w:rPr>
          <w:szCs w:val="28"/>
        </w:rPr>
        <w:t>родовження строку дії воєнного стану в Україні</w:t>
      </w:r>
      <w:r w:rsidR="007873CD">
        <w:rPr>
          <w:szCs w:val="28"/>
        </w:rPr>
        <w:t xml:space="preserve">) </w:t>
      </w:r>
      <w:r w:rsidR="00F32995" w:rsidRPr="007D2A81">
        <w:rPr>
          <w:szCs w:val="28"/>
        </w:rPr>
        <w:t>відкриття оздоровчого сезону у 202</w:t>
      </w:r>
      <w:r w:rsidR="00B92C04">
        <w:rPr>
          <w:szCs w:val="28"/>
        </w:rPr>
        <w:t>3</w:t>
      </w:r>
      <w:r w:rsidR="00F32995" w:rsidRPr="007D2A81">
        <w:rPr>
          <w:szCs w:val="28"/>
        </w:rPr>
        <w:t xml:space="preserve"> році не відбу</w:t>
      </w:r>
      <w:r w:rsidR="007873CD">
        <w:rPr>
          <w:szCs w:val="28"/>
        </w:rPr>
        <w:t>лося</w:t>
      </w:r>
      <w:r w:rsidR="00F32995" w:rsidRPr="007D2A81">
        <w:rPr>
          <w:szCs w:val="28"/>
        </w:rPr>
        <w:t xml:space="preserve">. </w:t>
      </w:r>
      <w:r w:rsidR="005F6273">
        <w:rPr>
          <w:szCs w:val="28"/>
        </w:rPr>
        <w:t>На 2024 рік у бюджеті Кременчуцької міської територіальної громади кошти на проведення оздоровчої кампанії не передбачені.</w:t>
      </w:r>
    </w:p>
    <w:p w:rsidR="00436C12" w:rsidRDefault="00436C12" w:rsidP="00145A8D">
      <w:pPr>
        <w:ind w:firstLine="567"/>
        <w:jc w:val="both"/>
        <w:rPr>
          <w:rFonts w:eastAsia="Calibri"/>
          <w:szCs w:val="28"/>
        </w:rPr>
      </w:pPr>
      <w:r>
        <w:rPr>
          <w:bCs/>
          <w:color w:val="000000"/>
          <w:szCs w:val="28"/>
        </w:rPr>
        <w:t>У</w:t>
      </w:r>
      <w:r w:rsidR="00C81B0D">
        <w:rPr>
          <w:bCs/>
          <w:color w:val="000000"/>
          <w:szCs w:val="28"/>
        </w:rPr>
        <w:t xml:space="preserve"> </w:t>
      </w:r>
      <w:r w:rsidR="005F6273">
        <w:rPr>
          <w:bCs/>
          <w:color w:val="000000"/>
          <w:szCs w:val="28"/>
        </w:rPr>
        <w:t>2023 році</w:t>
      </w:r>
      <w:r w:rsidR="005D39FD">
        <w:rPr>
          <w:bCs/>
          <w:color w:val="000000"/>
          <w:szCs w:val="28"/>
        </w:rPr>
        <w:t xml:space="preserve"> через військову агресію </w:t>
      </w:r>
      <w:proofErr w:type="spellStart"/>
      <w:r w:rsidR="005D39FD">
        <w:rPr>
          <w:bCs/>
          <w:color w:val="000000"/>
          <w:szCs w:val="28"/>
        </w:rPr>
        <w:t>рф</w:t>
      </w:r>
      <w:proofErr w:type="spellEnd"/>
      <w:r w:rsidR="005D39FD">
        <w:rPr>
          <w:bCs/>
          <w:color w:val="000000"/>
          <w:szCs w:val="28"/>
        </w:rPr>
        <w:t xml:space="preserve"> проти </w:t>
      </w:r>
      <w:r w:rsidR="005D39FD" w:rsidRPr="005F6273">
        <w:rPr>
          <w:bCs/>
          <w:color w:val="000000"/>
          <w:szCs w:val="28"/>
        </w:rPr>
        <w:t>України</w:t>
      </w:r>
      <w:r w:rsidR="00C81B0D">
        <w:rPr>
          <w:bCs/>
          <w:color w:val="000000"/>
          <w:szCs w:val="28"/>
        </w:rPr>
        <w:t xml:space="preserve"> </w:t>
      </w:r>
      <w:r w:rsidR="005F6273" w:rsidRPr="005F6273">
        <w:rPr>
          <w:color w:val="000000"/>
          <w:szCs w:val="28"/>
        </w:rPr>
        <w:t>КНП «ДЗОВ «Зоряний»</w:t>
      </w:r>
      <w:r w:rsidR="005F6273" w:rsidRPr="005F6273">
        <w:rPr>
          <w:color w:val="FF0000"/>
          <w:szCs w:val="28"/>
        </w:rPr>
        <w:t xml:space="preserve"> </w:t>
      </w:r>
      <w:r w:rsidR="005F6273">
        <w:rPr>
          <w:bCs/>
          <w:color w:val="000000"/>
          <w:szCs w:val="28"/>
        </w:rPr>
        <w:t xml:space="preserve"> не працював, а </w:t>
      </w:r>
      <w:r>
        <w:rPr>
          <w:bCs/>
          <w:color w:val="000000"/>
          <w:szCs w:val="28"/>
        </w:rPr>
        <w:t>тому</w:t>
      </w:r>
      <w:r w:rsidR="005D39FD">
        <w:rPr>
          <w:bCs/>
          <w:color w:val="000000"/>
          <w:szCs w:val="28"/>
        </w:rPr>
        <w:t xml:space="preserve"> </w:t>
      </w:r>
      <w:r w:rsidR="0019579F">
        <w:rPr>
          <w:rFonts w:eastAsia="Calibri"/>
          <w:szCs w:val="28"/>
        </w:rPr>
        <w:t>о</w:t>
      </w:r>
      <w:r w:rsidR="0019579F" w:rsidRPr="004A66EF">
        <w:rPr>
          <w:rFonts w:eastAsia="Calibri"/>
          <w:szCs w:val="28"/>
        </w:rPr>
        <w:t xml:space="preserve">чікувані надходження </w:t>
      </w:r>
      <w:r w:rsidR="0019579F">
        <w:rPr>
          <w:rFonts w:eastAsia="Calibri"/>
          <w:szCs w:val="28"/>
        </w:rPr>
        <w:t>від</w:t>
      </w:r>
      <w:r w:rsidR="0019579F" w:rsidRPr="004A66EF">
        <w:rPr>
          <w:rFonts w:eastAsia="Calibri"/>
          <w:szCs w:val="28"/>
        </w:rPr>
        <w:t xml:space="preserve"> продажу путівок </w:t>
      </w:r>
      <w:r w:rsidR="0047745B">
        <w:rPr>
          <w:rFonts w:eastAsia="Calibri"/>
          <w:szCs w:val="28"/>
        </w:rPr>
        <w:t xml:space="preserve">до </w:t>
      </w:r>
      <w:r w:rsidR="005F6273">
        <w:rPr>
          <w:rFonts w:eastAsia="Calibri"/>
          <w:szCs w:val="28"/>
        </w:rPr>
        <w:t xml:space="preserve">КНП </w:t>
      </w:r>
      <w:r w:rsidR="0019579F">
        <w:rPr>
          <w:rFonts w:eastAsia="Calibri"/>
          <w:szCs w:val="28"/>
        </w:rPr>
        <w:t xml:space="preserve">ДЗОВ «Зоряний», </w:t>
      </w:r>
      <w:r w:rsidR="0019579F" w:rsidRPr="004A66EF">
        <w:rPr>
          <w:rFonts w:eastAsia="Calibri"/>
          <w:szCs w:val="28"/>
        </w:rPr>
        <w:t xml:space="preserve">філії </w:t>
      </w:r>
      <w:proofErr w:type="spellStart"/>
      <w:r w:rsidR="0019579F" w:rsidRPr="004A66EF">
        <w:rPr>
          <w:rFonts w:eastAsia="Calibri"/>
          <w:szCs w:val="28"/>
        </w:rPr>
        <w:t>СОК</w:t>
      </w:r>
      <w:proofErr w:type="spellEnd"/>
      <w:r w:rsidR="0019579F" w:rsidRPr="004A66EF">
        <w:rPr>
          <w:rFonts w:eastAsia="Calibri"/>
          <w:szCs w:val="28"/>
        </w:rPr>
        <w:t xml:space="preserve"> «Супутник»</w:t>
      </w:r>
      <w:r w:rsidR="0019579F">
        <w:rPr>
          <w:rFonts w:eastAsia="Calibri"/>
          <w:szCs w:val="28"/>
        </w:rPr>
        <w:t xml:space="preserve">, </w:t>
      </w:r>
      <w:r w:rsidR="0019579F" w:rsidRPr="004A66EF">
        <w:rPr>
          <w:rFonts w:eastAsia="Calibri"/>
          <w:szCs w:val="28"/>
        </w:rPr>
        <w:t>надан</w:t>
      </w:r>
      <w:r w:rsidR="0019579F">
        <w:rPr>
          <w:rFonts w:eastAsia="Calibri"/>
          <w:szCs w:val="28"/>
        </w:rPr>
        <w:t>ня</w:t>
      </w:r>
      <w:r w:rsidR="0019579F" w:rsidRPr="004A66EF">
        <w:rPr>
          <w:rFonts w:eastAsia="Calibri"/>
          <w:szCs w:val="28"/>
        </w:rPr>
        <w:t xml:space="preserve"> послуг з проживан</w:t>
      </w:r>
      <w:r w:rsidR="0019579F">
        <w:rPr>
          <w:rFonts w:eastAsia="Calibri"/>
          <w:szCs w:val="28"/>
        </w:rPr>
        <w:t>ня та харчування</w:t>
      </w:r>
      <w:r w:rsidR="0019579F" w:rsidRPr="004A66EF">
        <w:rPr>
          <w:rFonts w:eastAsia="Calibri"/>
          <w:szCs w:val="28"/>
        </w:rPr>
        <w:t xml:space="preserve"> </w:t>
      </w:r>
      <w:r w:rsidR="0019579F" w:rsidRPr="00F83355">
        <w:rPr>
          <w:rFonts w:eastAsia="Calibri"/>
          <w:szCs w:val="28"/>
        </w:rPr>
        <w:t>громадян усіх категорій населення, у тому числі сімейний відпочинок, відпочинок для осіб з інвалідністю, громадян похилого віку (пенсіонерів), відпочинок організованих груп тощо</w:t>
      </w:r>
      <w:r w:rsidR="0019579F">
        <w:rPr>
          <w:rFonts w:eastAsia="Calibri"/>
          <w:szCs w:val="28"/>
        </w:rPr>
        <w:t xml:space="preserve"> не здійснювалися.</w:t>
      </w:r>
    </w:p>
    <w:p w:rsidR="005F6273" w:rsidRPr="005F6273" w:rsidRDefault="00292D00" w:rsidP="005F6273">
      <w:pPr>
        <w:ind w:firstLine="567"/>
        <w:jc w:val="both"/>
        <w:rPr>
          <w:color w:val="FF0000"/>
          <w:szCs w:val="28"/>
        </w:rPr>
      </w:pPr>
      <w:r>
        <w:rPr>
          <w:szCs w:val="28"/>
        </w:rPr>
        <w:t>Через протікання дахів у</w:t>
      </w:r>
      <w:r w:rsidR="005F6273">
        <w:rPr>
          <w:szCs w:val="28"/>
        </w:rPr>
        <w:t xml:space="preserve"> </w:t>
      </w:r>
      <w:r w:rsidR="005F6273" w:rsidRPr="005836CA">
        <w:rPr>
          <w:szCs w:val="28"/>
        </w:rPr>
        <w:t>2023 р</w:t>
      </w:r>
      <w:r w:rsidR="005F6273">
        <w:rPr>
          <w:szCs w:val="28"/>
        </w:rPr>
        <w:t>оці</w:t>
      </w:r>
      <w:r w:rsidR="005F6273" w:rsidRPr="005836CA">
        <w:rPr>
          <w:szCs w:val="28"/>
        </w:rPr>
        <w:t xml:space="preserve"> виникла потреба у проведені аварійних ремонтів покрівель спал</w:t>
      </w:r>
      <w:r w:rsidR="0047745B">
        <w:rPr>
          <w:szCs w:val="28"/>
        </w:rPr>
        <w:t>ьних корпусів №</w:t>
      </w:r>
      <w:r>
        <w:rPr>
          <w:szCs w:val="28"/>
        </w:rPr>
        <w:t xml:space="preserve"> 2, 3, </w:t>
      </w:r>
      <w:r w:rsidRPr="00292D00">
        <w:rPr>
          <w:color w:val="000000"/>
          <w:szCs w:val="28"/>
        </w:rPr>
        <w:t>6, 9, 12 КНП «ДЗОВ «Зоряний».</w:t>
      </w:r>
    </w:p>
    <w:p w:rsidR="00292D00" w:rsidRPr="00292D00" w:rsidRDefault="00292D00" w:rsidP="00292D00">
      <w:pPr>
        <w:ind w:firstLine="567"/>
        <w:jc w:val="both"/>
        <w:rPr>
          <w:color w:val="000000"/>
          <w:szCs w:val="28"/>
        </w:rPr>
      </w:pPr>
      <w:r w:rsidRPr="00292D00">
        <w:rPr>
          <w:color w:val="000000"/>
          <w:szCs w:val="28"/>
        </w:rPr>
        <w:t xml:space="preserve">Відповідно до рішення виконавчого комітету Кременчуцької міської ради Кременчуцького району Полтавської області від 20.10.2023 № 2283 «Про виділення коштів з Стабілізаційного Фонду Кременчуцької міської територіальної громади», на проведення поточного ремонту покрівель </w:t>
      </w:r>
      <w:bookmarkStart w:id="0" w:name="_Hlk155608279"/>
      <w:r w:rsidRPr="00292D00">
        <w:rPr>
          <w:color w:val="000000"/>
          <w:szCs w:val="28"/>
        </w:rPr>
        <w:t>спальних корпусів № 2, 3, 6, 9, 12 КНП «ДЗОВ «Зоряний» було виділено 461</w:t>
      </w:r>
      <w:r w:rsidR="00B9750A">
        <w:rPr>
          <w:color w:val="000000"/>
          <w:szCs w:val="28"/>
        </w:rPr>
        <w:t xml:space="preserve"> </w:t>
      </w:r>
      <w:r w:rsidRPr="00292D00">
        <w:rPr>
          <w:color w:val="000000"/>
          <w:szCs w:val="28"/>
        </w:rPr>
        <w:t xml:space="preserve">998,80 </w:t>
      </w:r>
      <w:proofErr w:type="spellStart"/>
      <w:r w:rsidRPr="00292D00">
        <w:rPr>
          <w:color w:val="000000"/>
          <w:szCs w:val="28"/>
        </w:rPr>
        <w:t>грн</w:t>
      </w:r>
      <w:bookmarkEnd w:id="0"/>
      <w:proofErr w:type="spellEnd"/>
      <w:r w:rsidR="00B9750A">
        <w:rPr>
          <w:color w:val="000000"/>
          <w:szCs w:val="28"/>
        </w:rPr>
        <w:t>, але не профінансовано у</w:t>
      </w:r>
      <w:r w:rsidRPr="00292D00">
        <w:rPr>
          <w:color w:val="000000"/>
          <w:szCs w:val="28"/>
        </w:rPr>
        <w:t xml:space="preserve"> 2023 році. </w:t>
      </w:r>
    </w:p>
    <w:p w:rsidR="00292D00" w:rsidRPr="00292D00" w:rsidRDefault="00292D00" w:rsidP="00292D00">
      <w:pPr>
        <w:ind w:firstLine="567"/>
        <w:jc w:val="both"/>
        <w:rPr>
          <w:color w:val="000000"/>
          <w:szCs w:val="28"/>
        </w:rPr>
      </w:pPr>
      <w:r w:rsidRPr="00292D00">
        <w:rPr>
          <w:color w:val="000000"/>
          <w:szCs w:val="28"/>
        </w:rPr>
        <w:t xml:space="preserve">Станом на 31.12.2023 ремонтні роботи покрівель спальних корпусів                           № 2, 3, 6, 9, 12 КНП «ДЗОВ «Зоряний» виконані в повному обсязі.                            </w:t>
      </w:r>
    </w:p>
    <w:p w:rsidR="002C1504" w:rsidRDefault="00292D00" w:rsidP="002C1504">
      <w:pPr>
        <w:ind w:firstLine="567"/>
        <w:jc w:val="both"/>
        <w:rPr>
          <w:szCs w:val="28"/>
        </w:rPr>
      </w:pPr>
      <w:r>
        <w:rPr>
          <w:szCs w:val="28"/>
        </w:rPr>
        <w:t>Видатки на оплату кредиторської заборгованості за проведені ремонти покрівель</w:t>
      </w:r>
      <w:r w:rsidRPr="00292D00">
        <w:rPr>
          <w:szCs w:val="28"/>
        </w:rPr>
        <w:t xml:space="preserve"> </w:t>
      </w:r>
      <w:r>
        <w:rPr>
          <w:szCs w:val="28"/>
        </w:rPr>
        <w:t xml:space="preserve">у кошторисі КНП «ДЗОВ «Зоряний» та у </w:t>
      </w:r>
      <w:r w:rsidR="002C25AB">
        <w:rPr>
          <w:rFonts w:eastAsia="Calibri"/>
          <w:szCs w:val="28"/>
        </w:rPr>
        <w:t>к</w:t>
      </w:r>
      <w:r w:rsidR="00436C12">
        <w:rPr>
          <w:rFonts w:eastAsia="Calibri"/>
          <w:szCs w:val="28"/>
        </w:rPr>
        <w:t>омплексн</w:t>
      </w:r>
      <w:r>
        <w:rPr>
          <w:rFonts w:eastAsia="Calibri"/>
          <w:szCs w:val="28"/>
        </w:rPr>
        <w:t>ій</w:t>
      </w:r>
      <w:r w:rsidR="00436C12" w:rsidRPr="00436C12">
        <w:rPr>
          <w:rFonts w:eastAsia="Calibri"/>
          <w:szCs w:val="28"/>
        </w:rPr>
        <w:t xml:space="preserve"> програм</w:t>
      </w:r>
      <w:r>
        <w:rPr>
          <w:rFonts w:eastAsia="Calibri"/>
          <w:szCs w:val="28"/>
        </w:rPr>
        <w:t>і</w:t>
      </w:r>
      <w:r w:rsidR="00436C12" w:rsidRPr="00436C12">
        <w:rPr>
          <w:rFonts w:eastAsia="Calibri"/>
          <w:szCs w:val="28"/>
        </w:rPr>
        <w:t xml:space="preserve">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на 2021-2025 роки</w:t>
      </w:r>
      <w:r w:rsidR="0063698D">
        <w:rPr>
          <w:rFonts w:eastAsia="Calibri"/>
          <w:szCs w:val="28"/>
        </w:rPr>
        <w:t xml:space="preserve"> на 2024</w:t>
      </w:r>
      <w:r w:rsidR="00436C12">
        <w:rPr>
          <w:rFonts w:eastAsia="Calibri"/>
          <w:szCs w:val="28"/>
        </w:rPr>
        <w:t xml:space="preserve"> рік не передбачені</w:t>
      </w:r>
      <w:r>
        <w:rPr>
          <w:rFonts w:eastAsia="Calibri"/>
          <w:szCs w:val="28"/>
        </w:rPr>
        <w:t>.</w:t>
      </w:r>
      <w:r w:rsidR="00436C12">
        <w:rPr>
          <w:rFonts w:eastAsia="Calibri"/>
          <w:szCs w:val="28"/>
        </w:rPr>
        <w:t xml:space="preserve"> </w:t>
      </w:r>
      <w:r w:rsidR="00D038CF">
        <w:rPr>
          <w:szCs w:val="28"/>
        </w:rPr>
        <w:t xml:space="preserve">Даним </w:t>
      </w:r>
      <w:proofErr w:type="spellStart"/>
      <w:r w:rsidR="00D038CF">
        <w:rPr>
          <w:szCs w:val="28"/>
        </w:rPr>
        <w:t>проєктом</w:t>
      </w:r>
      <w:proofErr w:type="spellEnd"/>
      <w:r w:rsidR="00D038CF">
        <w:rPr>
          <w:szCs w:val="28"/>
        </w:rPr>
        <w:t xml:space="preserve"> рішення пропонується в</w:t>
      </w:r>
      <w:r w:rsidR="002C1504">
        <w:rPr>
          <w:szCs w:val="28"/>
        </w:rPr>
        <w:t>нести зміни на 2024 рік, а саме:</w:t>
      </w:r>
    </w:p>
    <w:p w:rsidR="002C25AB" w:rsidRDefault="002C25AB" w:rsidP="002C1504">
      <w:pPr>
        <w:ind w:firstLine="567"/>
        <w:jc w:val="both"/>
        <w:rPr>
          <w:szCs w:val="28"/>
        </w:rPr>
      </w:pPr>
    </w:p>
    <w:p w:rsidR="00A75EC2" w:rsidRDefault="002C25AB" w:rsidP="002C25AB">
      <w:pPr>
        <w:ind w:firstLine="567"/>
        <w:jc w:val="both"/>
        <w:rPr>
          <w:b/>
          <w:szCs w:val="28"/>
        </w:rPr>
      </w:pPr>
      <w:r>
        <w:rPr>
          <w:b/>
          <w:szCs w:val="28"/>
        </w:rPr>
        <w:lastRenderedPageBreak/>
        <w:t>стара редакція</w:t>
      </w:r>
      <w:r w:rsidR="00A75EC2" w:rsidRPr="00E97137">
        <w:rPr>
          <w:b/>
          <w:szCs w:val="28"/>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234"/>
        <w:gridCol w:w="2268"/>
        <w:gridCol w:w="1276"/>
        <w:gridCol w:w="850"/>
        <w:gridCol w:w="851"/>
        <w:gridCol w:w="992"/>
        <w:gridCol w:w="850"/>
        <w:gridCol w:w="851"/>
        <w:gridCol w:w="992"/>
      </w:tblGrid>
      <w:tr w:rsidR="00A75EC2" w:rsidRPr="002C78E9" w:rsidTr="002C1504">
        <w:trPr>
          <w:trHeight w:val="339"/>
        </w:trPr>
        <w:tc>
          <w:tcPr>
            <w:tcW w:w="468" w:type="dxa"/>
            <w:vMerge w:val="restart"/>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 з/п</w:t>
            </w:r>
          </w:p>
        </w:tc>
        <w:tc>
          <w:tcPr>
            <w:tcW w:w="1234" w:type="dxa"/>
            <w:vMerge w:val="restart"/>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 xml:space="preserve">Назва напряму </w:t>
            </w:r>
            <w:proofErr w:type="spellStart"/>
            <w:r w:rsidRPr="006D2BA4">
              <w:rPr>
                <w:rFonts w:eastAsia="Calibri"/>
                <w:b/>
                <w:sz w:val="18"/>
                <w:szCs w:val="18"/>
              </w:rPr>
              <w:t>фінансува</w:t>
            </w:r>
            <w:r w:rsidR="006D2BA4">
              <w:rPr>
                <w:rFonts w:eastAsia="Calibri"/>
                <w:b/>
                <w:sz w:val="18"/>
                <w:szCs w:val="18"/>
              </w:rPr>
              <w:t>-</w:t>
            </w:r>
            <w:r w:rsidRPr="006D2BA4">
              <w:rPr>
                <w:rFonts w:eastAsia="Calibri"/>
                <w:b/>
                <w:sz w:val="18"/>
                <w:szCs w:val="18"/>
              </w:rPr>
              <w:t>ння</w:t>
            </w:r>
            <w:proofErr w:type="spellEnd"/>
          </w:p>
        </w:tc>
        <w:tc>
          <w:tcPr>
            <w:tcW w:w="2268" w:type="dxa"/>
            <w:vMerge w:val="restart"/>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Перелік заходів програми</w:t>
            </w:r>
          </w:p>
        </w:tc>
        <w:tc>
          <w:tcPr>
            <w:tcW w:w="1276" w:type="dxa"/>
            <w:vMerge w:val="restart"/>
            <w:shd w:val="clear" w:color="auto" w:fill="auto"/>
            <w:vAlign w:val="center"/>
          </w:tcPr>
          <w:p w:rsidR="00A75EC2" w:rsidRPr="006D2BA4" w:rsidRDefault="00A75EC2" w:rsidP="006D2BA4">
            <w:pPr>
              <w:ind w:right="-108"/>
              <w:jc w:val="center"/>
              <w:rPr>
                <w:rFonts w:eastAsia="Calibri"/>
                <w:sz w:val="18"/>
                <w:szCs w:val="18"/>
              </w:rPr>
            </w:pPr>
            <w:r w:rsidRPr="006D2BA4">
              <w:rPr>
                <w:rFonts w:eastAsia="Calibri"/>
                <w:b/>
                <w:sz w:val="18"/>
                <w:szCs w:val="18"/>
              </w:rPr>
              <w:t>Джерела фінансування</w:t>
            </w:r>
          </w:p>
        </w:tc>
        <w:tc>
          <w:tcPr>
            <w:tcW w:w="5386" w:type="dxa"/>
            <w:gridSpan w:val="6"/>
            <w:shd w:val="clear" w:color="auto" w:fill="auto"/>
            <w:vAlign w:val="center"/>
          </w:tcPr>
          <w:p w:rsidR="00A75EC2" w:rsidRPr="006D2BA4" w:rsidRDefault="00A75EC2" w:rsidP="00B32CC4">
            <w:pPr>
              <w:jc w:val="center"/>
              <w:rPr>
                <w:b/>
                <w:sz w:val="18"/>
                <w:szCs w:val="18"/>
              </w:rPr>
            </w:pPr>
            <w:r w:rsidRPr="006D2BA4">
              <w:rPr>
                <w:rFonts w:eastAsia="Calibri"/>
                <w:b/>
                <w:sz w:val="18"/>
                <w:szCs w:val="18"/>
              </w:rPr>
              <w:t xml:space="preserve">Орієнтовні обсяги фінансування (тис </w:t>
            </w:r>
            <w:proofErr w:type="spellStart"/>
            <w:r w:rsidRPr="006D2BA4">
              <w:rPr>
                <w:rFonts w:eastAsia="Calibri"/>
                <w:b/>
                <w:sz w:val="18"/>
                <w:szCs w:val="18"/>
              </w:rPr>
              <w:t>грн</w:t>
            </w:r>
            <w:proofErr w:type="spellEnd"/>
            <w:r w:rsidRPr="006D2BA4">
              <w:rPr>
                <w:rFonts w:eastAsia="Calibri"/>
                <w:b/>
                <w:sz w:val="18"/>
                <w:szCs w:val="18"/>
              </w:rPr>
              <w:t>)</w:t>
            </w:r>
          </w:p>
        </w:tc>
      </w:tr>
      <w:tr w:rsidR="006D2BA4" w:rsidRPr="002C78E9" w:rsidTr="002C1504">
        <w:trPr>
          <w:trHeight w:val="272"/>
        </w:trPr>
        <w:tc>
          <w:tcPr>
            <w:tcW w:w="468" w:type="dxa"/>
            <w:vMerge/>
            <w:shd w:val="clear" w:color="auto" w:fill="auto"/>
            <w:textDirection w:val="btLr"/>
            <w:vAlign w:val="center"/>
          </w:tcPr>
          <w:p w:rsidR="00A75EC2" w:rsidRPr="006D2BA4" w:rsidRDefault="00A75EC2" w:rsidP="00B32CC4">
            <w:pPr>
              <w:ind w:left="113" w:right="113"/>
              <w:jc w:val="center"/>
              <w:rPr>
                <w:rFonts w:eastAsia="Calibri"/>
                <w:b/>
                <w:sz w:val="18"/>
                <w:szCs w:val="18"/>
              </w:rPr>
            </w:pPr>
          </w:p>
        </w:tc>
        <w:tc>
          <w:tcPr>
            <w:tcW w:w="1234" w:type="dxa"/>
            <w:vMerge/>
            <w:shd w:val="clear" w:color="auto" w:fill="auto"/>
            <w:textDirection w:val="btLr"/>
            <w:vAlign w:val="center"/>
          </w:tcPr>
          <w:p w:rsidR="00A75EC2" w:rsidRPr="006D2BA4" w:rsidRDefault="00A75EC2" w:rsidP="00B32CC4">
            <w:pPr>
              <w:ind w:left="113" w:right="113"/>
              <w:jc w:val="center"/>
              <w:rPr>
                <w:rFonts w:eastAsia="Calibri"/>
                <w:b/>
                <w:sz w:val="18"/>
                <w:szCs w:val="18"/>
              </w:rPr>
            </w:pPr>
          </w:p>
        </w:tc>
        <w:tc>
          <w:tcPr>
            <w:tcW w:w="2268" w:type="dxa"/>
            <w:vMerge/>
            <w:shd w:val="clear" w:color="auto" w:fill="auto"/>
            <w:textDirection w:val="btLr"/>
            <w:vAlign w:val="center"/>
          </w:tcPr>
          <w:p w:rsidR="00A75EC2" w:rsidRPr="006D2BA4" w:rsidRDefault="00A75EC2" w:rsidP="00B32CC4">
            <w:pPr>
              <w:ind w:left="113" w:right="113"/>
              <w:jc w:val="center"/>
              <w:rPr>
                <w:rFonts w:eastAsia="Calibri"/>
                <w:b/>
                <w:sz w:val="18"/>
                <w:szCs w:val="18"/>
              </w:rPr>
            </w:pPr>
          </w:p>
        </w:tc>
        <w:tc>
          <w:tcPr>
            <w:tcW w:w="1276" w:type="dxa"/>
            <w:vMerge/>
            <w:shd w:val="clear" w:color="auto" w:fill="auto"/>
            <w:textDirection w:val="btLr"/>
            <w:vAlign w:val="center"/>
          </w:tcPr>
          <w:p w:rsidR="00A75EC2" w:rsidRPr="006D2BA4" w:rsidRDefault="00A75EC2" w:rsidP="00B32CC4">
            <w:pPr>
              <w:ind w:left="113" w:right="113"/>
              <w:jc w:val="center"/>
              <w:rPr>
                <w:rFonts w:eastAsia="Calibri"/>
                <w:b/>
                <w:sz w:val="18"/>
                <w:szCs w:val="18"/>
              </w:rPr>
            </w:pPr>
          </w:p>
        </w:tc>
        <w:tc>
          <w:tcPr>
            <w:tcW w:w="850" w:type="dxa"/>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2021</w:t>
            </w:r>
          </w:p>
        </w:tc>
        <w:tc>
          <w:tcPr>
            <w:tcW w:w="851" w:type="dxa"/>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2022</w:t>
            </w:r>
          </w:p>
        </w:tc>
        <w:tc>
          <w:tcPr>
            <w:tcW w:w="992" w:type="dxa"/>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2023</w:t>
            </w:r>
          </w:p>
        </w:tc>
        <w:tc>
          <w:tcPr>
            <w:tcW w:w="850" w:type="dxa"/>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2024</w:t>
            </w:r>
          </w:p>
        </w:tc>
        <w:tc>
          <w:tcPr>
            <w:tcW w:w="851" w:type="dxa"/>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2025</w:t>
            </w:r>
          </w:p>
        </w:tc>
        <w:tc>
          <w:tcPr>
            <w:tcW w:w="992" w:type="dxa"/>
            <w:shd w:val="clear" w:color="auto" w:fill="auto"/>
            <w:vAlign w:val="center"/>
          </w:tcPr>
          <w:p w:rsidR="00A75EC2" w:rsidRPr="006D2BA4" w:rsidRDefault="00A75EC2" w:rsidP="00B32CC4">
            <w:pPr>
              <w:jc w:val="center"/>
              <w:rPr>
                <w:rFonts w:eastAsia="Calibri"/>
                <w:b/>
                <w:sz w:val="18"/>
                <w:szCs w:val="18"/>
              </w:rPr>
            </w:pPr>
            <w:r w:rsidRPr="006D2BA4">
              <w:rPr>
                <w:rFonts w:eastAsia="Calibri"/>
                <w:b/>
                <w:sz w:val="18"/>
                <w:szCs w:val="18"/>
              </w:rPr>
              <w:t>Всього</w:t>
            </w:r>
          </w:p>
        </w:tc>
      </w:tr>
      <w:tr w:rsidR="00CD1C14" w:rsidRPr="002C78E9" w:rsidTr="002C1504">
        <w:tc>
          <w:tcPr>
            <w:tcW w:w="468" w:type="dxa"/>
            <w:shd w:val="clear" w:color="auto" w:fill="auto"/>
            <w:vAlign w:val="center"/>
          </w:tcPr>
          <w:p w:rsidR="00CD1C14" w:rsidRPr="006D2BA4" w:rsidRDefault="00CD1C14" w:rsidP="001E0CDC">
            <w:pPr>
              <w:jc w:val="center"/>
              <w:rPr>
                <w:rFonts w:eastAsia="Calibri"/>
                <w:sz w:val="18"/>
                <w:szCs w:val="18"/>
              </w:rPr>
            </w:pPr>
            <w:r w:rsidRPr="006D2BA4">
              <w:rPr>
                <w:rFonts w:eastAsia="Calibri"/>
                <w:sz w:val="18"/>
                <w:szCs w:val="18"/>
              </w:rPr>
              <w:t>7</w:t>
            </w:r>
          </w:p>
        </w:tc>
        <w:tc>
          <w:tcPr>
            <w:tcW w:w="1234" w:type="dxa"/>
            <w:shd w:val="clear" w:color="auto" w:fill="auto"/>
            <w:vAlign w:val="center"/>
          </w:tcPr>
          <w:p w:rsidR="00CD1C14" w:rsidRPr="006D2BA4" w:rsidRDefault="00CD1C14" w:rsidP="001E0CDC">
            <w:pPr>
              <w:jc w:val="center"/>
              <w:rPr>
                <w:rFonts w:eastAsia="Calibri"/>
                <w:sz w:val="18"/>
                <w:szCs w:val="18"/>
              </w:rPr>
            </w:pPr>
            <w:r w:rsidRPr="006D2BA4">
              <w:rPr>
                <w:rFonts w:eastAsia="Calibri"/>
                <w:sz w:val="18"/>
                <w:szCs w:val="18"/>
              </w:rPr>
              <w:t>Капітальні видатки:</w:t>
            </w:r>
          </w:p>
        </w:tc>
        <w:tc>
          <w:tcPr>
            <w:tcW w:w="2268" w:type="dxa"/>
            <w:shd w:val="clear" w:color="auto" w:fill="auto"/>
            <w:vAlign w:val="center"/>
          </w:tcPr>
          <w:p w:rsidR="00CD1C14" w:rsidRDefault="00CD1C14" w:rsidP="006D2BA4">
            <w:pPr>
              <w:pStyle w:val="aa"/>
              <w:tabs>
                <w:tab w:val="left" w:pos="233"/>
              </w:tabs>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Капітальний ремонт їдальні в філії </w:t>
            </w:r>
            <w:proofErr w:type="spellStart"/>
            <w:r>
              <w:rPr>
                <w:rFonts w:ascii="Times New Roman" w:eastAsia="Calibri" w:hAnsi="Times New Roman" w:cs="Times New Roman"/>
                <w:sz w:val="18"/>
                <w:szCs w:val="18"/>
              </w:rPr>
              <w:t>СОК</w:t>
            </w:r>
            <w:proofErr w:type="spellEnd"/>
            <w:r>
              <w:rPr>
                <w:rFonts w:ascii="Times New Roman" w:eastAsia="Calibri" w:hAnsi="Times New Roman" w:cs="Times New Roman"/>
                <w:sz w:val="18"/>
                <w:szCs w:val="18"/>
              </w:rPr>
              <w:t xml:space="preserve"> </w:t>
            </w:r>
            <w:r w:rsidRPr="006D2BA4">
              <w:rPr>
                <w:rFonts w:ascii="Times New Roman" w:eastAsia="Calibri" w:hAnsi="Times New Roman" w:cs="Times New Roman"/>
                <w:sz w:val="18"/>
                <w:szCs w:val="18"/>
              </w:rPr>
              <w:t xml:space="preserve">«Супутник», </w:t>
            </w:r>
          </w:p>
          <w:p w:rsidR="00CD1C14" w:rsidRDefault="00CD1C14" w:rsidP="006D2BA4">
            <w:pPr>
              <w:pStyle w:val="aa"/>
              <w:tabs>
                <w:tab w:val="left" w:pos="233"/>
              </w:tabs>
              <w:ind w:left="0"/>
              <w:jc w:val="both"/>
              <w:rPr>
                <w:rFonts w:ascii="Times New Roman" w:eastAsia="Calibri" w:hAnsi="Times New Roman" w:cs="Times New Roman"/>
                <w:sz w:val="18"/>
                <w:szCs w:val="18"/>
              </w:rPr>
            </w:pPr>
            <w:r w:rsidRPr="006D2BA4">
              <w:rPr>
                <w:rFonts w:ascii="Times New Roman" w:eastAsia="Calibri" w:hAnsi="Times New Roman" w:cs="Times New Roman"/>
                <w:sz w:val="18"/>
                <w:szCs w:val="18"/>
              </w:rPr>
              <w:t>будівниц</w:t>
            </w:r>
            <w:r>
              <w:rPr>
                <w:rFonts w:ascii="Times New Roman" w:eastAsia="Calibri" w:hAnsi="Times New Roman" w:cs="Times New Roman"/>
                <w:sz w:val="18"/>
                <w:szCs w:val="18"/>
              </w:rPr>
              <w:t xml:space="preserve">тво </w:t>
            </w:r>
            <w:r w:rsidRPr="006D2BA4">
              <w:rPr>
                <w:rFonts w:ascii="Times New Roman" w:eastAsia="Calibri" w:hAnsi="Times New Roman" w:cs="Times New Roman"/>
                <w:sz w:val="18"/>
                <w:szCs w:val="18"/>
              </w:rPr>
              <w:t>басейнів</w:t>
            </w:r>
            <w:r>
              <w:rPr>
                <w:rFonts w:ascii="Times New Roman" w:eastAsia="Calibri" w:hAnsi="Times New Roman" w:cs="Times New Roman"/>
                <w:sz w:val="18"/>
                <w:szCs w:val="18"/>
              </w:rPr>
              <w:t xml:space="preserve"> в   ДЗОВ «Зоряний» та філії </w:t>
            </w:r>
            <w:proofErr w:type="spellStart"/>
            <w:r>
              <w:rPr>
                <w:rFonts w:ascii="Times New Roman" w:eastAsia="Calibri" w:hAnsi="Times New Roman" w:cs="Times New Roman"/>
                <w:sz w:val="18"/>
                <w:szCs w:val="18"/>
              </w:rPr>
              <w:t>СОК</w:t>
            </w:r>
            <w:proofErr w:type="spellEnd"/>
            <w:r>
              <w:rPr>
                <w:rFonts w:ascii="Times New Roman" w:eastAsia="Calibri" w:hAnsi="Times New Roman" w:cs="Times New Roman"/>
                <w:sz w:val="18"/>
                <w:szCs w:val="18"/>
              </w:rPr>
              <w:t xml:space="preserve"> «Супутник», будівництво корпусів в філії </w:t>
            </w:r>
            <w:proofErr w:type="spellStart"/>
            <w:r>
              <w:rPr>
                <w:rFonts w:ascii="Times New Roman" w:eastAsia="Calibri" w:hAnsi="Times New Roman" w:cs="Times New Roman"/>
                <w:sz w:val="18"/>
                <w:szCs w:val="18"/>
              </w:rPr>
              <w:t>СОК</w:t>
            </w:r>
            <w:proofErr w:type="spellEnd"/>
            <w:r>
              <w:rPr>
                <w:rFonts w:ascii="Times New Roman" w:eastAsia="Calibri" w:hAnsi="Times New Roman" w:cs="Times New Roman"/>
                <w:sz w:val="18"/>
                <w:szCs w:val="18"/>
              </w:rPr>
              <w:t xml:space="preserve"> </w:t>
            </w:r>
            <w:r w:rsidRPr="006D2BA4">
              <w:rPr>
                <w:rFonts w:ascii="Times New Roman" w:eastAsia="Calibri" w:hAnsi="Times New Roman" w:cs="Times New Roman"/>
                <w:sz w:val="18"/>
                <w:szCs w:val="18"/>
              </w:rPr>
              <w:t xml:space="preserve">«Супутник» (корпуси     № 1, 2, 3, 4), придбання відеокамери та станції </w:t>
            </w:r>
            <w:r>
              <w:rPr>
                <w:rFonts w:ascii="Times New Roman" w:eastAsia="Calibri" w:hAnsi="Times New Roman" w:cs="Times New Roman"/>
                <w:sz w:val="18"/>
                <w:szCs w:val="18"/>
              </w:rPr>
              <w:t xml:space="preserve">для монтажу, капітальний ремонт </w:t>
            </w:r>
            <w:r w:rsidRPr="006D2BA4">
              <w:rPr>
                <w:rFonts w:ascii="Times New Roman" w:eastAsia="Calibri" w:hAnsi="Times New Roman" w:cs="Times New Roman"/>
                <w:sz w:val="18"/>
                <w:szCs w:val="18"/>
              </w:rPr>
              <w:t xml:space="preserve">паркану та тротуарного покриття в ДЗОВ «Зоряний» та філії          </w:t>
            </w:r>
            <w:proofErr w:type="spellStart"/>
            <w:r w:rsidRPr="006D2BA4">
              <w:rPr>
                <w:rFonts w:ascii="Times New Roman" w:eastAsia="Calibri" w:hAnsi="Times New Roman" w:cs="Times New Roman"/>
                <w:sz w:val="18"/>
                <w:szCs w:val="18"/>
              </w:rPr>
              <w:t>СОК</w:t>
            </w:r>
            <w:proofErr w:type="spellEnd"/>
            <w:r w:rsidRPr="006D2BA4">
              <w:rPr>
                <w:rFonts w:ascii="Times New Roman" w:eastAsia="Calibri" w:hAnsi="Times New Roman" w:cs="Times New Roman"/>
                <w:sz w:val="18"/>
                <w:szCs w:val="18"/>
              </w:rPr>
              <w:t xml:space="preserve"> «Супутник»</w:t>
            </w:r>
            <w:r>
              <w:rPr>
                <w:rFonts w:ascii="Times New Roman" w:eastAsia="Calibri" w:hAnsi="Times New Roman" w:cs="Times New Roman"/>
                <w:sz w:val="18"/>
                <w:szCs w:val="18"/>
              </w:rPr>
              <w:t xml:space="preserve">, розробка </w:t>
            </w:r>
            <w:proofErr w:type="spellStart"/>
            <w:r>
              <w:rPr>
                <w:rFonts w:ascii="Times New Roman" w:eastAsia="Calibri" w:hAnsi="Times New Roman" w:cs="Times New Roman"/>
                <w:sz w:val="18"/>
                <w:szCs w:val="18"/>
              </w:rPr>
              <w:t>проєктно-кошторисної</w:t>
            </w:r>
            <w:proofErr w:type="spellEnd"/>
            <w:r>
              <w:rPr>
                <w:rFonts w:ascii="Times New Roman" w:eastAsia="Calibri" w:hAnsi="Times New Roman" w:cs="Times New Roman"/>
                <w:sz w:val="18"/>
                <w:szCs w:val="18"/>
              </w:rPr>
              <w:t xml:space="preserve"> </w:t>
            </w:r>
            <w:proofErr w:type="spellStart"/>
            <w:r w:rsidRPr="006D2BA4">
              <w:rPr>
                <w:rFonts w:ascii="Times New Roman" w:eastAsia="Calibri" w:hAnsi="Times New Roman" w:cs="Times New Roman"/>
                <w:sz w:val="18"/>
                <w:szCs w:val="18"/>
              </w:rPr>
              <w:t>докумен</w:t>
            </w:r>
            <w:r>
              <w:rPr>
                <w:rFonts w:ascii="Times New Roman" w:eastAsia="Calibri" w:hAnsi="Times New Roman" w:cs="Times New Roman"/>
                <w:sz w:val="18"/>
                <w:szCs w:val="18"/>
              </w:rPr>
              <w:t>-</w:t>
            </w:r>
            <w:r w:rsidRPr="006D2BA4">
              <w:rPr>
                <w:rFonts w:ascii="Times New Roman" w:eastAsia="Calibri" w:hAnsi="Times New Roman" w:cs="Times New Roman"/>
                <w:sz w:val="18"/>
                <w:szCs w:val="18"/>
              </w:rPr>
              <w:t>тац</w:t>
            </w:r>
            <w:r>
              <w:rPr>
                <w:rFonts w:ascii="Times New Roman" w:eastAsia="Calibri" w:hAnsi="Times New Roman" w:cs="Times New Roman"/>
                <w:sz w:val="18"/>
                <w:szCs w:val="18"/>
              </w:rPr>
              <w:t>ії</w:t>
            </w:r>
            <w:proofErr w:type="spellEnd"/>
            <w:r>
              <w:rPr>
                <w:rFonts w:ascii="Times New Roman" w:eastAsia="Calibri" w:hAnsi="Times New Roman" w:cs="Times New Roman"/>
                <w:sz w:val="18"/>
                <w:szCs w:val="18"/>
              </w:rPr>
              <w:t xml:space="preserve"> з утеплення фасаду будівель, спальних </w:t>
            </w:r>
            <w:r w:rsidRPr="006D2BA4">
              <w:rPr>
                <w:rFonts w:ascii="Times New Roman" w:eastAsia="Calibri" w:hAnsi="Times New Roman" w:cs="Times New Roman"/>
                <w:sz w:val="18"/>
                <w:szCs w:val="18"/>
              </w:rPr>
              <w:t xml:space="preserve">корпусів                ДЗОВ «Зоряний», </w:t>
            </w:r>
          </w:p>
          <w:p w:rsidR="00CD1C14" w:rsidRDefault="00CD1C14" w:rsidP="006D2BA4">
            <w:pPr>
              <w:pStyle w:val="aa"/>
              <w:tabs>
                <w:tab w:val="left" w:pos="233"/>
              </w:tabs>
              <w:ind w:left="0"/>
              <w:jc w:val="both"/>
              <w:rPr>
                <w:rFonts w:ascii="Times New Roman" w:eastAsia="Calibri" w:hAnsi="Times New Roman" w:cs="Times New Roman"/>
                <w:sz w:val="18"/>
                <w:szCs w:val="18"/>
              </w:rPr>
            </w:pPr>
            <w:r w:rsidRPr="006D2BA4">
              <w:rPr>
                <w:rFonts w:ascii="Times New Roman" w:eastAsia="Calibri" w:hAnsi="Times New Roman" w:cs="Times New Roman"/>
                <w:sz w:val="18"/>
                <w:szCs w:val="18"/>
              </w:rPr>
              <w:t xml:space="preserve">проведення робіт з утеплення фасаду будівель, </w:t>
            </w:r>
          </w:p>
          <w:p w:rsidR="00CD1C14" w:rsidRPr="006D2BA4" w:rsidRDefault="00CD1C14" w:rsidP="006D2BA4">
            <w:pPr>
              <w:pStyle w:val="aa"/>
              <w:tabs>
                <w:tab w:val="left" w:pos="233"/>
              </w:tabs>
              <w:ind w:left="0"/>
              <w:jc w:val="both"/>
              <w:rPr>
                <w:rFonts w:ascii="Times New Roman" w:eastAsia="Calibri" w:hAnsi="Times New Roman" w:cs="Times New Roman"/>
                <w:sz w:val="18"/>
                <w:szCs w:val="18"/>
              </w:rPr>
            </w:pPr>
            <w:r w:rsidRPr="006D2BA4">
              <w:rPr>
                <w:rFonts w:ascii="Times New Roman" w:eastAsia="Calibri" w:hAnsi="Times New Roman" w:cs="Times New Roman"/>
                <w:sz w:val="18"/>
                <w:szCs w:val="18"/>
              </w:rPr>
              <w:t>монтаж системи рекуперації повітря, утеплення покрівлі та встановлення відливів у спальних корпусах                ДЗОВ «Зоряний», проведення опалення в спальних корпусах ДЗОВ «Зоряний»</w:t>
            </w:r>
          </w:p>
        </w:tc>
        <w:tc>
          <w:tcPr>
            <w:tcW w:w="1276" w:type="dxa"/>
            <w:shd w:val="clear" w:color="auto" w:fill="auto"/>
            <w:vAlign w:val="center"/>
          </w:tcPr>
          <w:p w:rsidR="00CD1C14" w:rsidRPr="006D2BA4" w:rsidRDefault="00CD1C14" w:rsidP="001E0CDC">
            <w:pPr>
              <w:jc w:val="center"/>
              <w:rPr>
                <w:rFonts w:eastAsia="Calibri"/>
                <w:sz w:val="18"/>
                <w:szCs w:val="18"/>
              </w:rPr>
            </w:pPr>
            <w:r w:rsidRPr="006D2BA4">
              <w:rPr>
                <w:rFonts w:eastAsia="Calibri"/>
                <w:sz w:val="18"/>
                <w:szCs w:val="18"/>
              </w:rPr>
              <w:t xml:space="preserve">Бюджет </w:t>
            </w:r>
            <w:proofErr w:type="spellStart"/>
            <w:r w:rsidRPr="006D2BA4">
              <w:rPr>
                <w:rFonts w:eastAsia="Calibri"/>
                <w:sz w:val="18"/>
                <w:szCs w:val="18"/>
              </w:rPr>
              <w:t>Кременчуць</w:t>
            </w:r>
            <w:r>
              <w:rPr>
                <w:rFonts w:eastAsia="Calibri"/>
                <w:sz w:val="18"/>
                <w:szCs w:val="18"/>
              </w:rPr>
              <w:t>-</w:t>
            </w:r>
            <w:r w:rsidRPr="006D2BA4">
              <w:rPr>
                <w:rFonts w:eastAsia="Calibri"/>
                <w:sz w:val="18"/>
                <w:szCs w:val="18"/>
              </w:rPr>
              <w:t>кої</w:t>
            </w:r>
            <w:proofErr w:type="spellEnd"/>
            <w:r w:rsidRPr="006D2BA4">
              <w:rPr>
                <w:rFonts w:eastAsia="Calibri"/>
                <w:sz w:val="18"/>
                <w:szCs w:val="18"/>
              </w:rPr>
              <w:t xml:space="preserve"> міської територіальної громади </w:t>
            </w:r>
          </w:p>
        </w:tc>
        <w:tc>
          <w:tcPr>
            <w:tcW w:w="850" w:type="dxa"/>
            <w:shd w:val="clear" w:color="auto" w:fill="auto"/>
            <w:vAlign w:val="center"/>
          </w:tcPr>
          <w:p w:rsidR="00CD1C14" w:rsidRPr="00CD1C14" w:rsidRDefault="00CD1C14" w:rsidP="001E0CDC">
            <w:pPr>
              <w:jc w:val="center"/>
              <w:rPr>
                <w:rFonts w:eastAsia="Calibri"/>
                <w:b/>
                <w:sz w:val="18"/>
                <w:szCs w:val="18"/>
              </w:rPr>
            </w:pPr>
            <w:r w:rsidRPr="00CD1C14">
              <w:rPr>
                <w:rFonts w:eastAsia="Calibri"/>
                <w:b/>
                <w:sz w:val="18"/>
                <w:szCs w:val="18"/>
              </w:rPr>
              <w:t>10 130,0</w:t>
            </w:r>
          </w:p>
        </w:tc>
        <w:tc>
          <w:tcPr>
            <w:tcW w:w="851" w:type="dxa"/>
            <w:shd w:val="clear" w:color="auto" w:fill="auto"/>
            <w:vAlign w:val="center"/>
          </w:tcPr>
          <w:p w:rsidR="00CD1C14" w:rsidRPr="00CD1C14" w:rsidRDefault="00CD1C14" w:rsidP="001E0CDC">
            <w:pPr>
              <w:jc w:val="center"/>
              <w:rPr>
                <w:rFonts w:eastAsia="Calibri"/>
                <w:b/>
                <w:sz w:val="18"/>
                <w:szCs w:val="18"/>
              </w:rPr>
            </w:pPr>
            <w:r w:rsidRPr="00CD1C14">
              <w:rPr>
                <w:rFonts w:eastAsia="Calibri"/>
                <w:b/>
                <w:sz w:val="18"/>
                <w:szCs w:val="18"/>
              </w:rPr>
              <w:t>11 000,0</w:t>
            </w:r>
          </w:p>
        </w:tc>
        <w:tc>
          <w:tcPr>
            <w:tcW w:w="992" w:type="dxa"/>
            <w:shd w:val="clear" w:color="auto" w:fill="auto"/>
            <w:vAlign w:val="center"/>
          </w:tcPr>
          <w:p w:rsidR="00CD1C14" w:rsidRPr="00CD1C14" w:rsidRDefault="00CD1C14" w:rsidP="00CD1C14">
            <w:pPr>
              <w:ind w:right="-108"/>
              <w:jc w:val="center"/>
              <w:rPr>
                <w:rFonts w:eastAsia="Calibri"/>
                <w:b/>
                <w:sz w:val="18"/>
                <w:szCs w:val="18"/>
              </w:rPr>
            </w:pPr>
            <w:r w:rsidRPr="00CD1C14">
              <w:rPr>
                <w:rFonts w:eastAsia="Calibri"/>
                <w:b/>
                <w:sz w:val="18"/>
                <w:szCs w:val="18"/>
              </w:rPr>
              <w:t>26 235,794</w:t>
            </w:r>
          </w:p>
        </w:tc>
        <w:tc>
          <w:tcPr>
            <w:tcW w:w="850" w:type="dxa"/>
            <w:shd w:val="clear" w:color="auto" w:fill="auto"/>
            <w:vAlign w:val="center"/>
          </w:tcPr>
          <w:p w:rsidR="00CD1C14" w:rsidRPr="00CD1C14" w:rsidRDefault="00CD1C14" w:rsidP="001E0CDC">
            <w:pPr>
              <w:jc w:val="center"/>
              <w:rPr>
                <w:rFonts w:eastAsia="Calibri"/>
                <w:b/>
                <w:sz w:val="18"/>
                <w:szCs w:val="18"/>
              </w:rPr>
            </w:pPr>
            <w:r w:rsidRPr="00CD1C14">
              <w:rPr>
                <w:rFonts w:eastAsia="Calibri"/>
                <w:b/>
                <w:sz w:val="18"/>
                <w:szCs w:val="18"/>
              </w:rPr>
              <w:t>4 580,0</w:t>
            </w:r>
          </w:p>
        </w:tc>
        <w:tc>
          <w:tcPr>
            <w:tcW w:w="851" w:type="dxa"/>
            <w:shd w:val="clear" w:color="auto" w:fill="auto"/>
            <w:vAlign w:val="center"/>
          </w:tcPr>
          <w:p w:rsidR="00CD1C14" w:rsidRPr="00CD1C14" w:rsidRDefault="00CD1C14" w:rsidP="001E0CDC">
            <w:pPr>
              <w:jc w:val="center"/>
              <w:rPr>
                <w:rFonts w:eastAsia="Calibri"/>
                <w:b/>
                <w:sz w:val="18"/>
                <w:szCs w:val="18"/>
              </w:rPr>
            </w:pPr>
            <w:r w:rsidRPr="00CD1C14">
              <w:rPr>
                <w:rFonts w:eastAsia="Calibri"/>
                <w:b/>
                <w:sz w:val="18"/>
                <w:szCs w:val="18"/>
              </w:rPr>
              <w:t>5 580,0</w:t>
            </w:r>
          </w:p>
        </w:tc>
        <w:tc>
          <w:tcPr>
            <w:tcW w:w="992" w:type="dxa"/>
            <w:shd w:val="clear" w:color="auto" w:fill="auto"/>
            <w:vAlign w:val="center"/>
          </w:tcPr>
          <w:p w:rsidR="00CD1C14" w:rsidRPr="00CD1C14" w:rsidRDefault="00CD1C14" w:rsidP="00CD1C14">
            <w:pPr>
              <w:ind w:right="-108"/>
              <w:jc w:val="center"/>
              <w:rPr>
                <w:rFonts w:eastAsia="Calibri"/>
                <w:b/>
                <w:sz w:val="18"/>
                <w:szCs w:val="18"/>
              </w:rPr>
            </w:pPr>
            <w:r w:rsidRPr="00CD1C14">
              <w:rPr>
                <w:rFonts w:eastAsia="Calibri"/>
                <w:b/>
                <w:sz w:val="18"/>
                <w:szCs w:val="18"/>
                <w:lang w:val="ru-RU"/>
              </w:rPr>
              <w:t>57 525,794</w:t>
            </w:r>
          </w:p>
        </w:tc>
      </w:tr>
    </w:tbl>
    <w:p w:rsidR="002C25AB" w:rsidRDefault="002C25AB" w:rsidP="002C25AB">
      <w:pPr>
        <w:jc w:val="both"/>
        <w:rPr>
          <w:b/>
          <w:szCs w:val="28"/>
        </w:rPr>
      </w:pPr>
    </w:p>
    <w:p w:rsidR="00A75EC2" w:rsidRDefault="002C25AB" w:rsidP="002C25AB">
      <w:pPr>
        <w:ind w:firstLine="708"/>
        <w:jc w:val="both"/>
        <w:rPr>
          <w:b/>
          <w:szCs w:val="28"/>
        </w:rPr>
      </w:pPr>
      <w:r>
        <w:rPr>
          <w:b/>
          <w:szCs w:val="28"/>
        </w:rPr>
        <w:t>нова редакція</w:t>
      </w:r>
      <w:r w:rsidR="00A75EC2">
        <w:rPr>
          <w:b/>
          <w:szCs w:val="28"/>
        </w:rPr>
        <w:t>:</w:t>
      </w:r>
    </w:p>
    <w:tbl>
      <w:tblPr>
        <w:tblW w:w="105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67"/>
        <w:gridCol w:w="2268"/>
        <w:gridCol w:w="1276"/>
        <w:gridCol w:w="850"/>
        <w:gridCol w:w="821"/>
        <w:gridCol w:w="1022"/>
        <w:gridCol w:w="870"/>
        <w:gridCol w:w="831"/>
        <w:gridCol w:w="958"/>
      </w:tblGrid>
      <w:tr w:rsidR="00A75EC2" w:rsidRPr="002C78E9" w:rsidTr="002C1504">
        <w:trPr>
          <w:trHeight w:val="518"/>
        </w:trPr>
        <w:tc>
          <w:tcPr>
            <w:tcW w:w="535" w:type="dxa"/>
            <w:vMerge w:val="restart"/>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 з/п</w:t>
            </w:r>
          </w:p>
        </w:tc>
        <w:tc>
          <w:tcPr>
            <w:tcW w:w="1167" w:type="dxa"/>
            <w:vMerge w:val="restart"/>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 xml:space="preserve">Назва напряму </w:t>
            </w:r>
            <w:proofErr w:type="spellStart"/>
            <w:r w:rsidRPr="00CD1C14">
              <w:rPr>
                <w:rFonts w:eastAsia="Calibri"/>
                <w:b/>
                <w:sz w:val="18"/>
                <w:szCs w:val="18"/>
              </w:rPr>
              <w:t>фінансува</w:t>
            </w:r>
            <w:r w:rsidR="00CD1C14">
              <w:rPr>
                <w:rFonts w:eastAsia="Calibri"/>
                <w:b/>
                <w:sz w:val="18"/>
                <w:szCs w:val="18"/>
              </w:rPr>
              <w:t>-</w:t>
            </w:r>
            <w:r w:rsidRPr="00CD1C14">
              <w:rPr>
                <w:rFonts w:eastAsia="Calibri"/>
                <w:b/>
                <w:sz w:val="18"/>
                <w:szCs w:val="18"/>
              </w:rPr>
              <w:t>ння</w:t>
            </w:r>
            <w:proofErr w:type="spellEnd"/>
          </w:p>
        </w:tc>
        <w:tc>
          <w:tcPr>
            <w:tcW w:w="2268" w:type="dxa"/>
            <w:vMerge w:val="restart"/>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Перелік заходів програми</w:t>
            </w:r>
          </w:p>
        </w:tc>
        <w:tc>
          <w:tcPr>
            <w:tcW w:w="1276" w:type="dxa"/>
            <w:vMerge w:val="restart"/>
            <w:shd w:val="clear" w:color="auto" w:fill="auto"/>
            <w:vAlign w:val="center"/>
          </w:tcPr>
          <w:p w:rsidR="00A75EC2" w:rsidRPr="00CD1C14" w:rsidRDefault="00A75EC2" w:rsidP="00CD1C14">
            <w:pPr>
              <w:ind w:right="-108"/>
              <w:jc w:val="center"/>
              <w:rPr>
                <w:rFonts w:eastAsia="Calibri"/>
                <w:sz w:val="18"/>
                <w:szCs w:val="18"/>
              </w:rPr>
            </w:pPr>
            <w:r w:rsidRPr="00CD1C14">
              <w:rPr>
                <w:rFonts w:eastAsia="Calibri"/>
                <w:b/>
                <w:sz w:val="18"/>
                <w:szCs w:val="18"/>
              </w:rPr>
              <w:t>Джерела фінансування</w:t>
            </w:r>
          </w:p>
        </w:tc>
        <w:tc>
          <w:tcPr>
            <w:tcW w:w="5352" w:type="dxa"/>
            <w:gridSpan w:val="6"/>
            <w:shd w:val="clear" w:color="auto" w:fill="auto"/>
            <w:vAlign w:val="center"/>
          </w:tcPr>
          <w:p w:rsidR="00A75EC2" w:rsidRPr="00CD1C14" w:rsidRDefault="00A75EC2" w:rsidP="00B32CC4">
            <w:pPr>
              <w:jc w:val="center"/>
              <w:rPr>
                <w:b/>
                <w:sz w:val="18"/>
                <w:szCs w:val="18"/>
              </w:rPr>
            </w:pPr>
            <w:r w:rsidRPr="00CD1C14">
              <w:rPr>
                <w:rFonts w:eastAsia="Calibri"/>
                <w:b/>
                <w:sz w:val="18"/>
                <w:szCs w:val="18"/>
              </w:rPr>
              <w:t xml:space="preserve">Орієнтовні обсяги фінансування (тис </w:t>
            </w:r>
            <w:proofErr w:type="spellStart"/>
            <w:r w:rsidRPr="00CD1C14">
              <w:rPr>
                <w:rFonts w:eastAsia="Calibri"/>
                <w:b/>
                <w:sz w:val="18"/>
                <w:szCs w:val="18"/>
              </w:rPr>
              <w:t>грн</w:t>
            </w:r>
            <w:proofErr w:type="spellEnd"/>
            <w:r w:rsidRPr="00CD1C14">
              <w:rPr>
                <w:rFonts w:eastAsia="Calibri"/>
                <w:b/>
                <w:sz w:val="18"/>
                <w:szCs w:val="18"/>
              </w:rPr>
              <w:t>)</w:t>
            </w:r>
          </w:p>
        </w:tc>
      </w:tr>
      <w:tr w:rsidR="002C78E9" w:rsidRPr="002C78E9" w:rsidTr="002C1504">
        <w:trPr>
          <w:trHeight w:val="248"/>
        </w:trPr>
        <w:tc>
          <w:tcPr>
            <w:tcW w:w="535" w:type="dxa"/>
            <w:vMerge/>
            <w:shd w:val="clear" w:color="auto" w:fill="auto"/>
            <w:textDirection w:val="btLr"/>
            <w:vAlign w:val="center"/>
          </w:tcPr>
          <w:p w:rsidR="00A75EC2" w:rsidRPr="00CD1C14" w:rsidRDefault="00A75EC2" w:rsidP="00B32CC4">
            <w:pPr>
              <w:ind w:left="113" w:right="113"/>
              <w:jc w:val="center"/>
              <w:rPr>
                <w:rFonts w:eastAsia="Calibri"/>
                <w:b/>
                <w:sz w:val="18"/>
                <w:szCs w:val="18"/>
              </w:rPr>
            </w:pPr>
          </w:p>
        </w:tc>
        <w:tc>
          <w:tcPr>
            <w:tcW w:w="1167" w:type="dxa"/>
            <w:vMerge/>
            <w:shd w:val="clear" w:color="auto" w:fill="auto"/>
            <w:textDirection w:val="btLr"/>
            <w:vAlign w:val="center"/>
          </w:tcPr>
          <w:p w:rsidR="00A75EC2" w:rsidRPr="00CD1C14" w:rsidRDefault="00A75EC2" w:rsidP="00B32CC4">
            <w:pPr>
              <w:ind w:left="113" w:right="113"/>
              <w:jc w:val="center"/>
              <w:rPr>
                <w:rFonts w:eastAsia="Calibri"/>
                <w:b/>
                <w:sz w:val="18"/>
                <w:szCs w:val="18"/>
              </w:rPr>
            </w:pPr>
          </w:p>
        </w:tc>
        <w:tc>
          <w:tcPr>
            <w:tcW w:w="2268" w:type="dxa"/>
            <w:vMerge/>
            <w:shd w:val="clear" w:color="auto" w:fill="auto"/>
            <w:textDirection w:val="btLr"/>
            <w:vAlign w:val="center"/>
          </w:tcPr>
          <w:p w:rsidR="00A75EC2" w:rsidRPr="00CD1C14" w:rsidRDefault="00A75EC2" w:rsidP="00B32CC4">
            <w:pPr>
              <w:ind w:left="113" w:right="113"/>
              <w:jc w:val="center"/>
              <w:rPr>
                <w:rFonts w:eastAsia="Calibri"/>
                <w:b/>
                <w:sz w:val="18"/>
                <w:szCs w:val="18"/>
              </w:rPr>
            </w:pPr>
          </w:p>
        </w:tc>
        <w:tc>
          <w:tcPr>
            <w:tcW w:w="1276" w:type="dxa"/>
            <w:vMerge/>
            <w:shd w:val="clear" w:color="auto" w:fill="auto"/>
            <w:textDirection w:val="btLr"/>
            <w:vAlign w:val="center"/>
          </w:tcPr>
          <w:p w:rsidR="00A75EC2" w:rsidRPr="00CD1C14" w:rsidRDefault="00A75EC2" w:rsidP="00B32CC4">
            <w:pPr>
              <w:ind w:left="113" w:right="113"/>
              <w:jc w:val="center"/>
              <w:rPr>
                <w:rFonts w:eastAsia="Calibri"/>
                <w:b/>
                <w:sz w:val="18"/>
                <w:szCs w:val="18"/>
              </w:rPr>
            </w:pPr>
          </w:p>
        </w:tc>
        <w:tc>
          <w:tcPr>
            <w:tcW w:w="850" w:type="dxa"/>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2021</w:t>
            </w:r>
          </w:p>
        </w:tc>
        <w:tc>
          <w:tcPr>
            <w:tcW w:w="821" w:type="dxa"/>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2022</w:t>
            </w:r>
          </w:p>
        </w:tc>
        <w:tc>
          <w:tcPr>
            <w:tcW w:w="1022" w:type="dxa"/>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2023</w:t>
            </w:r>
          </w:p>
        </w:tc>
        <w:tc>
          <w:tcPr>
            <w:tcW w:w="870" w:type="dxa"/>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2024</w:t>
            </w:r>
          </w:p>
        </w:tc>
        <w:tc>
          <w:tcPr>
            <w:tcW w:w="831" w:type="dxa"/>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2025</w:t>
            </w:r>
          </w:p>
        </w:tc>
        <w:tc>
          <w:tcPr>
            <w:tcW w:w="958" w:type="dxa"/>
            <w:shd w:val="clear" w:color="auto" w:fill="auto"/>
            <w:vAlign w:val="center"/>
          </w:tcPr>
          <w:p w:rsidR="00A75EC2" w:rsidRPr="00CD1C14" w:rsidRDefault="00A75EC2" w:rsidP="00B32CC4">
            <w:pPr>
              <w:jc w:val="center"/>
              <w:rPr>
                <w:rFonts w:eastAsia="Calibri"/>
                <w:b/>
                <w:sz w:val="18"/>
                <w:szCs w:val="18"/>
              </w:rPr>
            </w:pPr>
            <w:r w:rsidRPr="00CD1C14">
              <w:rPr>
                <w:rFonts w:eastAsia="Calibri"/>
                <w:b/>
                <w:sz w:val="18"/>
                <w:szCs w:val="18"/>
              </w:rPr>
              <w:t>Всього</w:t>
            </w:r>
          </w:p>
        </w:tc>
      </w:tr>
      <w:tr w:rsidR="006D2BA4" w:rsidRPr="002C78E9" w:rsidTr="002C1504">
        <w:tc>
          <w:tcPr>
            <w:tcW w:w="535" w:type="dxa"/>
            <w:shd w:val="clear" w:color="auto" w:fill="auto"/>
            <w:vAlign w:val="center"/>
          </w:tcPr>
          <w:p w:rsidR="006D2BA4" w:rsidRPr="00CD1C14" w:rsidRDefault="006D2BA4" w:rsidP="001E0CDC">
            <w:pPr>
              <w:jc w:val="center"/>
              <w:rPr>
                <w:rFonts w:eastAsia="Calibri"/>
                <w:sz w:val="18"/>
                <w:szCs w:val="18"/>
              </w:rPr>
            </w:pPr>
            <w:r w:rsidRPr="00CD1C14">
              <w:rPr>
                <w:rFonts w:eastAsia="Calibri"/>
                <w:sz w:val="18"/>
                <w:szCs w:val="18"/>
              </w:rPr>
              <w:t>7</w:t>
            </w:r>
          </w:p>
        </w:tc>
        <w:tc>
          <w:tcPr>
            <w:tcW w:w="1167" w:type="dxa"/>
            <w:shd w:val="clear" w:color="auto" w:fill="auto"/>
            <w:vAlign w:val="center"/>
          </w:tcPr>
          <w:p w:rsidR="006D2BA4" w:rsidRPr="00CD1C14" w:rsidRDefault="006D2BA4" w:rsidP="001E0CDC">
            <w:pPr>
              <w:jc w:val="center"/>
              <w:rPr>
                <w:rFonts w:eastAsia="Calibri"/>
                <w:sz w:val="18"/>
                <w:szCs w:val="18"/>
              </w:rPr>
            </w:pPr>
            <w:r w:rsidRPr="00CD1C14">
              <w:rPr>
                <w:rFonts w:eastAsia="Calibri"/>
                <w:sz w:val="18"/>
                <w:szCs w:val="18"/>
              </w:rPr>
              <w:t>Капітальні видатки:</w:t>
            </w:r>
          </w:p>
        </w:tc>
        <w:tc>
          <w:tcPr>
            <w:tcW w:w="2268" w:type="dxa"/>
            <w:shd w:val="clear" w:color="auto" w:fill="auto"/>
            <w:vAlign w:val="center"/>
          </w:tcPr>
          <w:p w:rsidR="006D2BA4" w:rsidRPr="00CD1C14" w:rsidRDefault="006D2BA4" w:rsidP="001E0CDC">
            <w:pPr>
              <w:pStyle w:val="aa"/>
              <w:tabs>
                <w:tab w:val="left" w:pos="233"/>
              </w:tabs>
              <w:ind w:left="0"/>
              <w:jc w:val="both"/>
              <w:rPr>
                <w:rFonts w:ascii="Times New Roman" w:eastAsia="Calibri" w:hAnsi="Times New Roman" w:cs="Times New Roman"/>
                <w:color w:val="FF0000"/>
                <w:sz w:val="18"/>
                <w:szCs w:val="18"/>
              </w:rPr>
            </w:pPr>
            <w:r w:rsidRPr="00CD1C14">
              <w:rPr>
                <w:rFonts w:ascii="Times New Roman" w:eastAsia="Calibri" w:hAnsi="Times New Roman" w:cs="Times New Roman"/>
                <w:sz w:val="18"/>
                <w:szCs w:val="18"/>
              </w:rPr>
              <w:t xml:space="preserve">Капітальний ремонт їдальні в філії </w:t>
            </w:r>
            <w:proofErr w:type="spellStart"/>
            <w:r w:rsidRPr="00CD1C14">
              <w:rPr>
                <w:rFonts w:ascii="Times New Roman" w:eastAsia="Calibri" w:hAnsi="Times New Roman" w:cs="Times New Roman"/>
                <w:sz w:val="18"/>
                <w:szCs w:val="18"/>
              </w:rPr>
              <w:t>СОК</w:t>
            </w:r>
            <w:proofErr w:type="spellEnd"/>
            <w:r w:rsidRPr="00CD1C14">
              <w:rPr>
                <w:rFonts w:ascii="Times New Roman" w:eastAsia="Calibri" w:hAnsi="Times New Roman" w:cs="Times New Roman"/>
                <w:sz w:val="18"/>
                <w:szCs w:val="18"/>
              </w:rPr>
              <w:t xml:space="preserve"> «Супутник», будівництво басейнів в               ДЗОВ «Зоряний» та філії                </w:t>
            </w:r>
            <w:proofErr w:type="spellStart"/>
            <w:r w:rsidRPr="00CD1C14">
              <w:rPr>
                <w:rFonts w:ascii="Times New Roman" w:eastAsia="Calibri" w:hAnsi="Times New Roman" w:cs="Times New Roman"/>
                <w:sz w:val="18"/>
                <w:szCs w:val="18"/>
              </w:rPr>
              <w:t>СОК</w:t>
            </w:r>
            <w:proofErr w:type="spellEnd"/>
            <w:r w:rsidRPr="00CD1C14">
              <w:rPr>
                <w:rFonts w:ascii="Times New Roman" w:eastAsia="Calibri" w:hAnsi="Times New Roman" w:cs="Times New Roman"/>
                <w:sz w:val="18"/>
                <w:szCs w:val="18"/>
              </w:rPr>
              <w:t xml:space="preserve"> «Супутник», будівництво корпусів в філії </w:t>
            </w:r>
            <w:proofErr w:type="spellStart"/>
            <w:r w:rsidRPr="00CD1C14">
              <w:rPr>
                <w:rFonts w:ascii="Times New Roman" w:eastAsia="Calibri" w:hAnsi="Times New Roman" w:cs="Times New Roman"/>
                <w:sz w:val="18"/>
                <w:szCs w:val="18"/>
              </w:rPr>
              <w:t>СОК</w:t>
            </w:r>
            <w:proofErr w:type="spellEnd"/>
            <w:r w:rsidRPr="00CD1C14">
              <w:rPr>
                <w:rFonts w:ascii="Times New Roman" w:eastAsia="Calibri" w:hAnsi="Times New Roman" w:cs="Times New Roman"/>
                <w:sz w:val="18"/>
                <w:szCs w:val="18"/>
              </w:rPr>
              <w:t xml:space="preserve"> «Супутник» (корпуси     № 1, 2, 3, 4), придбання відеокамери та станції для монтажу, капітальний ремонт паркану та тротуарного покриття в ДЗОВ «Зоряний» та філії          </w:t>
            </w:r>
            <w:proofErr w:type="spellStart"/>
            <w:r w:rsidRPr="00CD1C14">
              <w:rPr>
                <w:rFonts w:ascii="Times New Roman" w:eastAsia="Calibri" w:hAnsi="Times New Roman" w:cs="Times New Roman"/>
                <w:sz w:val="18"/>
                <w:szCs w:val="18"/>
              </w:rPr>
              <w:t>СОК</w:t>
            </w:r>
            <w:proofErr w:type="spellEnd"/>
            <w:r w:rsidRPr="00CD1C14">
              <w:rPr>
                <w:rFonts w:ascii="Times New Roman" w:eastAsia="Calibri" w:hAnsi="Times New Roman" w:cs="Times New Roman"/>
                <w:sz w:val="18"/>
                <w:szCs w:val="18"/>
              </w:rPr>
              <w:t xml:space="preserve"> «Супутник», розробка </w:t>
            </w:r>
            <w:proofErr w:type="spellStart"/>
            <w:r w:rsidRPr="00CD1C14">
              <w:rPr>
                <w:rFonts w:ascii="Times New Roman" w:eastAsia="Calibri" w:hAnsi="Times New Roman" w:cs="Times New Roman"/>
                <w:sz w:val="18"/>
                <w:szCs w:val="18"/>
              </w:rPr>
              <w:t>проєктно-кошторисної</w:t>
            </w:r>
            <w:proofErr w:type="spellEnd"/>
            <w:r w:rsidRPr="00CD1C14">
              <w:rPr>
                <w:rFonts w:ascii="Times New Roman" w:eastAsia="Calibri" w:hAnsi="Times New Roman" w:cs="Times New Roman"/>
                <w:sz w:val="18"/>
                <w:szCs w:val="18"/>
              </w:rPr>
              <w:t xml:space="preserve"> документації з утеплення фасаду будівель, спальних корпусів                ДЗОВ «Зоряний», проведення робіт з утеплення фасаду </w:t>
            </w:r>
            <w:r w:rsidRPr="00CD1C14">
              <w:rPr>
                <w:rFonts w:ascii="Times New Roman" w:eastAsia="Calibri" w:hAnsi="Times New Roman" w:cs="Times New Roman"/>
                <w:sz w:val="18"/>
                <w:szCs w:val="18"/>
              </w:rPr>
              <w:lastRenderedPageBreak/>
              <w:t>будівель, монтаж системи рекуперації повітря, утеплення покрівлі та встановлення відливів у спальних корпусах                ДЗОВ «Зоряний», проведення опалення в спальних корпусах ДЗОВ «Зоряний», поточний ремонт покрівель із м</w:t>
            </w:r>
            <w:r w:rsidRPr="00B9750A">
              <w:rPr>
                <w:rFonts w:ascii="Times New Roman" w:eastAsia="Calibri" w:hAnsi="Times New Roman" w:cs="Times New Roman"/>
                <w:sz w:val="18"/>
                <w:szCs w:val="18"/>
              </w:rPr>
              <w:t>’</w:t>
            </w:r>
            <w:r w:rsidRPr="00CD1C14">
              <w:rPr>
                <w:rFonts w:ascii="Times New Roman" w:eastAsia="Calibri" w:hAnsi="Times New Roman" w:cs="Times New Roman"/>
                <w:sz w:val="18"/>
                <w:szCs w:val="18"/>
              </w:rPr>
              <w:t>яких рулонних</w:t>
            </w:r>
            <w:r w:rsidRPr="00CD1C14">
              <w:rPr>
                <w:rFonts w:ascii="Times New Roman" w:eastAsia="Calibri" w:hAnsi="Times New Roman" w:cs="Times New Roman"/>
                <w:color w:val="FF0000"/>
                <w:sz w:val="18"/>
                <w:szCs w:val="18"/>
              </w:rPr>
              <w:t xml:space="preserve"> </w:t>
            </w:r>
            <w:r w:rsidRPr="00CD1C14">
              <w:rPr>
                <w:rFonts w:ascii="Times New Roman" w:eastAsia="Calibri" w:hAnsi="Times New Roman" w:cs="Times New Roman"/>
                <w:sz w:val="18"/>
                <w:szCs w:val="18"/>
              </w:rPr>
              <w:t>матеріалів дахів будівель спальних корпусів ДЗОВ «Зоряний» (корпуси № 2, 3, 6, 9, 12)</w:t>
            </w:r>
          </w:p>
        </w:tc>
        <w:tc>
          <w:tcPr>
            <w:tcW w:w="1276" w:type="dxa"/>
            <w:shd w:val="clear" w:color="auto" w:fill="auto"/>
            <w:vAlign w:val="center"/>
          </w:tcPr>
          <w:p w:rsidR="006D2BA4" w:rsidRPr="00CD1C14" w:rsidRDefault="006D2BA4" w:rsidP="001E0CDC">
            <w:pPr>
              <w:jc w:val="center"/>
              <w:rPr>
                <w:rFonts w:eastAsia="Calibri"/>
                <w:sz w:val="18"/>
                <w:szCs w:val="18"/>
              </w:rPr>
            </w:pPr>
            <w:r w:rsidRPr="00CD1C14">
              <w:rPr>
                <w:rFonts w:eastAsia="Calibri"/>
                <w:sz w:val="18"/>
                <w:szCs w:val="18"/>
              </w:rPr>
              <w:lastRenderedPageBreak/>
              <w:t xml:space="preserve">Бюджет </w:t>
            </w:r>
            <w:proofErr w:type="spellStart"/>
            <w:r w:rsidRPr="00CD1C14">
              <w:rPr>
                <w:rFonts w:eastAsia="Calibri"/>
                <w:sz w:val="18"/>
                <w:szCs w:val="18"/>
              </w:rPr>
              <w:t>Кременчуць</w:t>
            </w:r>
            <w:r w:rsidR="00B9750A">
              <w:rPr>
                <w:rFonts w:eastAsia="Calibri"/>
                <w:sz w:val="18"/>
                <w:szCs w:val="18"/>
              </w:rPr>
              <w:t>-</w:t>
            </w:r>
            <w:r w:rsidRPr="00CD1C14">
              <w:rPr>
                <w:rFonts w:eastAsia="Calibri"/>
                <w:sz w:val="18"/>
                <w:szCs w:val="18"/>
              </w:rPr>
              <w:t>кої</w:t>
            </w:r>
            <w:proofErr w:type="spellEnd"/>
            <w:r w:rsidRPr="00CD1C14">
              <w:rPr>
                <w:rFonts w:eastAsia="Calibri"/>
                <w:sz w:val="18"/>
                <w:szCs w:val="18"/>
              </w:rPr>
              <w:t xml:space="preserve"> міської </w:t>
            </w:r>
            <w:proofErr w:type="spellStart"/>
            <w:r w:rsidRPr="00CD1C14">
              <w:rPr>
                <w:rFonts w:eastAsia="Calibri"/>
                <w:sz w:val="18"/>
                <w:szCs w:val="18"/>
              </w:rPr>
              <w:t>територіаль</w:t>
            </w:r>
            <w:r w:rsidR="00B9750A">
              <w:rPr>
                <w:rFonts w:eastAsia="Calibri"/>
                <w:sz w:val="18"/>
                <w:szCs w:val="18"/>
              </w:rPr>
              <w:t>-</w:t>
            </w:r>
            <w:r w:rsidRPr="00CD1C14">
              <w:rPr>
                <w:rFonts w:eastAsia="Calibri"/>
                <w:sz w:val="18"/>
                <w:szCs w:val="18"/>
              </w:rPr>
              <w:t>ної</w:t>
            </w:r>
            <w:proofErr w:type="spellEnd"/>
            <w:r w:rsidRPr="00CD1C14">
              <w:rPr>
                <w:rFonts w:eastAsia="Calibri"/>
                <w:sz w:val="18"/>
                <w:szCs w:val="18"/>
              </w:rPr>
              <w:t xml:space="preserve"> громади </w:t>
            </w:r>
          </w:p>
        </w:tc>
        <w:tc>
          <w:tcPr>
            <w:tcW w:w="850" w:type="dxa"/>
            <w:shd w:val="clear" w:color="auto" w:fill="auto"/>
            <w:vAlign w:val="center"/>
          </w:tcPr>
          <w:p w:rsidR="006D2BA4" w:rsidRPr="00CD1C14" w:rsidRDefault="006D2BA4" w:rsidP="00CD1C14">
            <w:pPr>
              <w:jc w:val="center"/>
              <w:rPr>
                <w:rFonts w:eastAsia="Calibri"/>
                <w:b/>
                <w:sz w:val="18"/>
                <w:szCs w:val="18"/>
              </w:rPr>
            </w:pPr>
            <w:r w:rsidRPr="00CD1C14">
              <w:rPr>
                <w:rFonts w:eastAsia="Calibri"/>
                <w:b/>
                <w:sz w:val="18"/>
                <w:szCs w:val="18"/>
              </w:rPr>
              <w:t>10 130,0</w:t>
            </w:r>
          </w:p>
        </w:tc>
        <w:tc>
          <w:tcPr>
            <w:tcW w:w="821" w:type="dxa"/>
            <w:shd w:val="clear" w:color="auto" w:fill="auto"/>
            <w:vAlign w:val="center"/>
          </w:tcPr>
          <w:p w:rsidR="006D2BA4" w:rsidRPr="00CD1C14" w:rsidRDefault="006D2BA4" w:rsidP="00CD1C14">
            <w:pPr>
              <w:ind w:right="-138"/>
              <w:rPr>
                <w:rFonts w:eastAsia="Calibri"/>
                <w:b/>
                <w:sz w:val="18"/>
                <w:szCs w:val="18"/>
              </w:rPr>
            </w:pPr>
            <w:r w:rsidRPr="00CD1C14">
              <w:rPr>
                <w:rFonts w:eastAsia="Calibri"/>
                <w:b/>
                <w:sz w:val="18"/>
                <w:szCs w:val="18"/>
              </w:rPr>
              <w:t>11 000,0</w:t>
            </w:r>
          </w:p>
        </w:tc>
        <w:tc>
          <w:tcPr>
            <w:tcW w:w="1022" w:type="dxa"/>
            <w:shd w:val="clear" w:color="auto" w:fill="auto"/>
            <w:vAlign w:val="center"/>
          </w:tcPr>
          <w:p w:rsidR="006D2BA4" w:rsidRPr="00CD1C14" w:rsidRDefault="006D2BA4" w:rsidP="00CD1C14">
            <w:pPr>
              <w:ind w:right="-108"/>
              <w:jc w:val="center"/>
              <w:rPr>
                <w:rFonts w:eastAsia="Calibri"/>
                <w:b/>
                <w:sz w:val="18"/>
                <w:szCs w:val="18"/>
              </w:rPr>
            </w:pPr>
            <w:r w:rsidRPr="00CD1C14">
              <w:rPr>
                <w:rFonts w:eastAsia="Calibri"/>
                <w:b/>
                <w:sz w:val="18"/>
                <w:szCs w:val="18"/>
              </w:rPr>
              <w:t>26 235,794</w:t>
            </w:r>
          </w:p>
        </w:tc>
        <w:tc>
          <w:tcPr>
            <w:tcW w:w="870" w:type="dxa"/>
            <w:shd w:val="clear" w:color="auto" w:fill="auto"/>
            <w:vAlign w:val="center"/>
          </w:tcPr>
          <w:p w:rsidR="006D2BA4" w:rsidRPr="00CD1C14" w:rsidRDefault="006D2BA4" w:rsidP="00CD1C14">
            <w:pPr>
              <w:jc w:val="center"/>
              <w:rPr>
                <w:rFonts w:eastAsia="Calibri"/>
                <w:b/>
                <w:sz w:val="18"/>
                <w:szCs w:val="18"/>
              </w:rPr>
            </w:pPr>
            <w:r w:rsidRPr="00CD1C14">
              <w:rPr>
                <w:rFonts w:eastAsia="Calibri"/>
                <w:b/>
                <w:sz w:val="18"/>
                <w:szCs w:val="18"/>
              </w:rPr>
              <w:t>5 042,0</w:t>
            </w:r>
          </w:p>
        </w:tc>
        <w:tc>
          <w:tcPr>
            <w:tcW w:w="831" w:type="dxa"/>
            <w:shd w:val="clear" w:color="auto" w:fill="auto"/>
            <w:vAlign w:val="center"/>
          </w:tcPr>
          <w:p w:rsidR="006D2BA4" w:rsidRPr="00CD1C14" w:rsidRDefault="006D2BA4" w:rsidP="00CD1C14">
            <w:pPr>
              <w:jc w:val="center"/>
              <w:rPr>
                <w:rFonts w:eastAsia="Calibri"/>
                <w:b/>
                <w:sz w:val="18"/>
                <w:szCs w:val="18"/>
              </w:rPr>
            </w:pPr>
            <w:r w:rsidRPr="00CD1C14">
              <w:rPr>
                <w:rFonts w:eastAsia="Calibri"/>
                <w:b/>
                <w:sz w:val="18"/>
                <w:szCs w:val="18"/>
              </w:rPr>
              <w:t>5 580,0</w:t>
            </w:r>
          </w:p>
        </w:tc>
        <w:tc>
          <w:tcPr>
            <w:tcW w:w="958" w:type="dxa"/>
            <w:shd w:val="clear" w:color="auto" w:fill="auto"/>
            <w:vAlign w:val="center"/>
          </w:tcPr>
          <w:p w:rsidR="006D2BA4" w:rsidRPr="00CD1C14" w:rsidRDefault="006D2BA4" w:rsidP="00CD1C14">
            <w:pPr>
              <w:ind w:right="-142" w:hanging="108"/>
              <w:jc w:val="center"/>
              <w:rPr>
                <w:rFonts w:eastAsia="Calibri"/>
                <w:b/>
                <w:sz w:val="18"/>
                <w:szCs w:val="18"/>
              </w:rPr>
            </w:pPr>
            <w:r w:rsidRPr="00CD1C14">
              <w:rPr>
                <w:rFonts w:eastAsia="Calibri"/>
                <w:b/>
                <w:sz w:val="18"/>
                <w:szCs w:val="18"/>
                <w:lang w:val="ru-RU"/>
              </w:rPr>
              <w:t>57 987,794</w:t>
            </w:r>
          </w:p>
        </w:tc>
      </w:tr>
    </w:tbl>
    <w:p w:rsidR="00A75EC2" w:rsidRDefault="00A75EC2" w:rsidP="0035150C">
      <w:pPr>
        <w:jc w:val="both"/>
        <w:rPr>
          <w:rFonts w:eastAsia="Calibri"/>
          <w:szCs w:val="28"/>
        </w:rPr>
      </w:pPr>
    </w:p>
    <w:p w:rsidR="009927FB" w:rsidRPr="009927FB" w:rsidRDefault="00436C12" w:rsidP="009927FB">
      <w:pPr>
        <w:ind w:firstLine="567"/>
        <w:jc w:val="both"/>
        <w:rPr>
          <w:b/>
          <w:szCs w:val="28"/>
        </w:rPr>
      </w:pPr>
      <w:r>
        <w:rPr>
          <w:rFonts w:eastAsia="Calibri"/>
          <w:szCs w:val="28"/>
        </w:rPr>
        <w:t>Для утримання</w:t>
      </w:r>
      <w:r w:rsidR="0047745B">
        <w:rPr>
          <w:rFonts w:eastAsia="Calibri"/>
          <w:szCs w:val="28"/>
        </w:rPr>
        <w:t xml:space="preserve"> спальних</w:t>
      </w:r>
      <w:r>
        <w:rPr>
          <w:rFonts w:eastAsia="Calibri"/>
          <w:szCs w:val="28"/>
        </w:rPr>
        <w:t xml:space="preserve"> </w:t>
      </w:r>
      <w:r w:rsidR="0047745B">
        <w:rPr>
          <w:rFonts w:eastAsia="Calibri"/>
          <w:szCs w:val="28"/>
        </w:rPr>
        <w:t xml:space="preserve">корпусів </w:t>
      </w:r>
      <w:r w:rsidR="0047745B">
        <w:rPr>
          <w:szCs w:val="28"/>
        </w:rPr>
        <w:t xml:space="preserve">КНП «ДЗОВ «Зоряний» </w:t>
      </w:r>
      <w:r>
        <w:rPr>
          <w:rFonts w:eastAsia="Calibri"/>
          <w:szCs w:val="28"/>
        </w:rPr>
        <w:t>на належному</w:t>
      </w:r>
      <w:r w:rsidR="0047745B" w:rsidRPr="0047745B">
        <w:rPr>
          <w:rFonts w:eastAsia="Calibri"/>
          <w:szCs w:val="28"/>
        </w:rPr>
        <w:t xml:space="preserve"> </w:t>
      </w:r>
      <w:r w:rsidR="0047745B">
        <w:rPr>
          <w:rFonts w:eastAsia="Calibri"/>
          <w:szCs w:val="28"/>
        </w:rPr>
        <w:t>рівні та відповідно до санітарних норм</w:t>
      </w:r>
      <w:r>
        <w:rPr>
          <w:rFonts w:eastAsia="Calibri"/>
          <w:szCs w:val="28"/>
        </w:rPr>
        <w:t xml:space="preserve"> </w:t>
      </w:r>
      <w:r w:rsidR="008848E2">
        <w:rPr>
          <w:rFonts w:eastAsia="Calibri"/>
          <w:szCs w:val="28"/>
        </w:rPr>
        <w:t>у 202</w:t>
      </w:r>
      <w:r w:rsidR="0063698D">
        <w:rPr>
          <w:rFonts w:eastAsia="Calibri"/>
          <w:szCs w:val="28"/>
        </w:rPr>
        <w:t>4</w:t>
      </w:r>
      <w:r w:rsidR="008848E2">
        <w:rPr>
          <w:rFonts w:eastAsia="Calibri"/>
          <w:szCs w:val="28"/>
        </w:rPr>
        <w:t xml:space="preserve"> році є</w:t>
      </w:r>
      <w:r w:rsidR="00F32995" w:rsidRPr="007B461D">
        <w:rPr>
          <w:color w:val="000000"/>
          <w:szCs w:val="28"/>
          <w:shd w:val="clear" w:color="auto" w:fill="FFFFFF"/>
        </w:rPr>
        <w:t xml:space="preserve"> необхідність</w:t>
      </w:r>
      <w:r w:rsidR="00D436CF">
        <w:rPr>
          <w:color w:val="000000"/>
          <w:szCs w:val="28"/>
          <w:shd w:val="clear" w:color="auto" w:fill="FFFFFF"/>
        </w:rPr>
        <w:t xml:space="preserve"> передбачити відповідні видатки та</w:t>
      </w:r>
      <w:r w:rsidR="00F32995" w:rsidRPr="007B461D">
        <w:rPr>
          <w:color w:val="000000"/>
          <w:szCs w:val="28"/>
          <w:shd w:val="clear" w:color="auto" w:fill="FFFFFF"/>
        </w:rPr>
        <w:t xml:space="preserve"> </w:t>
      </w:r>
      <w:r w:rsidR="00FD6B66">
        <w:rPr>
          <w:color w:val="000000"/>
          <w:szCs w:val="28"/>
          <w:shd w:val="clear" w:color="auto" w:fill="FFFFFF"/>
        </w:rPr>
        <w:t>внести зміни</w:t>
      </w:r>
      <w:r w:rsidR="00D038CF">
        <w:rPr>
          <w:color w:val="000000"/>
          <w:szCs w:val="28"/>
          <w:shd w:val="clear" w:color="auto" w:fill="FFFFFF"/>
        </w:rPr>
        <w:t xml:space="preserve"> в</w:t>
      </w:r>
      <w:r w:rsidR="00F32995" w:rsidRPr="007B461D">
        <w:rPr>
          <w:color w:val="000000"/>
          <w:szCs w:val="28"/>
          <w:shd w:val="clear" w:color="auto" w:fill="FFFFFF"/>
        </w:rPr>
        <w:t xml:space="preserve"> </w:t>
      </w:r>
      <w:r w:rsidR="0008398E">
        <w:rPr>
          <w:color w:val="000000"/>
          <w:szCs w:val="28"/>
          <w:shd w:val="clear" w:color="auto" w:fill="FFFFFF"/>
        </w:rPr>
        <w:t>додаток до к</w:t>
      </w:r>
      <w:r w:rsidR="00F32995" w:rsidRPr="00322D60">
        <w:t>омплексн</w:t>
      </w:r>
      <w:r w:rsidR="0008398E">
        <w:t>ої</w:t>
      </w:r>
      <w:r w:rsidR="00F32995">
        <w:t xml:space="preserve"> </w:t>
      </w:r>
      <w:r w:rsidR="00F32995" w:rsidRPr="00322D60">
        <w:t>програм</w:t>
      </w:r>
      <w:r w:rsidR="0008398E">
        <w:t>и</w:t>
      </w:r>
      <w:r w:rsidR="00F32995" w:rsidRPr="00322D60">
        <w:t xml:space="preserve"> розвитку та підтримки комунального некомерційного підприємства «Дитячий заклад оздоровлення та відпочинку «Зоряний» Кременчуцької міської ради</w:t>
      </w:r>
      <w:r w:rsidR="00F32995">
        <w:t xml:space="preserve"> Кременчуцького району</w:t>
      </w:r>
      <w:r w:rsidR="00F32995" w:rsidRPr="00322D60">
        <w:t xml:space="preserve"> Полтавської обла</w:t>
      </w:r>
      <w:r w:rsidR="00D038CF">
        <w:t>сті на 2021-2025 роки.</w:t>
      </w:r>
    </w:p>
    <w:p w:rsidR="009927FB" w:rsidRDefault="009927FB" w:rsidP="009927FB">
      <w:pPr>
        <w:rPr>
          <w:szCs w:val="28"/>
        </w:rPr>
      </w:pPr>
    </w:p>
    <w:tbl>
      <w:tblPr>
        <w:tblW w:w="9873" w:type="dxa"/>
        <w:tblLook w:val="04A0"/>
      </w:tblPr>
      <w:tblGrid>
        <w:gridCol w:w="4962"/>
        <w:gridCol w:w="1701"/>
        <w:gridCol w:w="3210"/>
      </w:tblGrid>
      <w:tr w:rsidR="009927FB" w:rsidRPr="003A1878" w:rsidTr="00F114F1">
        <w:tc>
          <w:tcPr>
            <w:tcW w:w="4962" w:type="dxa"/>
            <w:shd w:val="clear" w:color="auto" w:fill="auto"/>
          </w:tcPr>
          <w:p w:rsidR="009927FB" w:rsidRPr="003A1878" w:rsidRDefault="009927FB" w:rsidP="00F114F1">
            <w:pPr>
              <w:jc w:val="both"/>
              <w:rPr>
                <w:b/>
                <w:bCs/>
              </w:rPr>
            </w:pPr>
            <w:r>
              <w:rPr>
                <w:b/>
              </w:rPr>
              <w:t>Директор</w:t>
            </w:r>
            <w:r w:rsidRPr="003A1878">
              <w:rPr>
                <w:b/>
              </w:rPr>
              <w:t xml:space="preserve"> Департаменту у справах сімей та дітей Кременчуцької міської ради Кременчуцького району Полтавської області</w:t>
            </w:r>
          </w:p>
        </w:tc>
        <w:tc>
          <w:tcPr>
            <w:tcW w:w="1701" w:type="dxa"/>
            <w:shd w:val="clear" w:color="auto" w:fill="auto"/>
          </w:tcPr>
          <w:p w:rsidR="009927FB" w:rsidRPr="003A1878" w:rsidRDefault="009927FB" w:rsidP="00F114F1">
            <w:pPr>
              <w:tabs>
                <w:tab w:val="right" w:leader="underscore" w:pos="9639"/>
              </w:tabs>
              <w:ind w:right="-17"/>
              <w:rPr>
                <w:b/>
                <w:bCs/>
              </w:rPr>
            </w:pPr>
          </w:p>
        </w:tc>
        <w:tc>
          <w:tcPr>
            <w:tcW w:w="3210" w:type="dxa"/>
            <w:shd w:val="clear" w:color="auto" w:fill="auto"/>
          </w:tcPr>
          <w:p w:rsidR="009927FB" w:rsidRPr="003A1878" w:rsidRDefault="009927FB" w:rsidP="00F114F1">
            <w:pPr>
              <w:tabs>
                <w:tab w:val="right" w:leader="underscore" w:pos="9639"/>
              </w:tabs>
              <w:ind w:right="-17"/>
              <w:rPr>
                <w:b/>
              </w:rPr>
            </w:pPr>
          </w:p>
          <w:p w:rsidR="009927FB" w:rsidRPr="003A1878" w:rsidRDefault="009927FB" w:rsidP="00F114F1">
            <w:pPr>
              <w:tabs>
                <w:tab w:val="right" w:leader="underscore" w:pos="9639"/>
              </w:tabs>
              <w:ind w:right="-17"/>
              <w:rPr>
                <w:b/>
              </w:rPr>
            </w:pPr>
          </w:p>
          <w:p w:rsidR="009927FB" w:rsidRPr="003A1878" w:rsidRDefault="009927FB" w:rsidP="00F114F1">
            <w:pPr>
              <w:tabs>
                <w:tab w:val="right" w:leader="underscore" w:pos="9639"/>
              </w:tabs>
              <w:ind w:right="-17"/>
              <w:rPr>
                <w:b/>
              </w:rPr>
            </w:pPr>
          </w:p>
          <w:p w:rsidR="009927FB" w:rsidRPr="003A1878" w:rsidRDefault="009927FB" w:rsidP="009927FB">
            <w:pPr>
              <w:tabs>
                <w:tab w:val="left" w:pos="0"/>
                <w:tab w:val="right" w:leader="underscore" w:pos="9639"/>
              </w:tabs>
              <w:ind w:right="18"/>
              <w:jc w:val="right"/>
              <w:rPr>
                <w:b/>
                <w:bCs/>
              </w:rPr>
            </w:pPr>
            <w:r>
              <w:rPr>
                <w:b/>
              </w:rPr>
              <w:t xml:space="preserve"> </w:t>
            </w:r>
            <w:r w:rsidRPr="003A1878">
              <w:rPr>
                <w:b/>
              </w:rPr>
              <w:t xml:space="preserve">   </w:t>
            </w:r>
            <w:r>
              <w:rPr>
                <w:b/>
              </w:rPr>
              <w:t>Ігор ШТЕФАН</w:t>
            </w:r>
          </w:p>
        </w:tc>
      </w:tr>
    </w:tbl>
    <w:p w:rsidR="000440CC" w:rsidRPr="009927FB" w:rsidRDefault="000440CC" w:rsidP="009927FB">
      <w:pPr>
        <w:rPr>
          <w:szCs w:val="28"/>
        </w:rPr>
      </w:pPr>
    </w:p>
    <w:sectPr w:rsidR="000440CC" w:rsidRPr="009927FB" w:rsidSect="002C1504">
      <w:headerReference w:type="even" r:id="rId7"/>
      <w:pgSz w:w="11906" w:h="16838" w:code="9"/>
      <w:pgMar w:top="1134" w:right="567"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FB7" w:rsidRDefault="00002FB7">
      <w:r>
        <w:separator/>
      </w:r>
    </w:p>
  </w:endnote>
  <w:endnote w:type="continuationSeparator" w:id="0">
    <w:p w:rsidR="00002FB7" w:rsidRDefault="00002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FB7" w:rsidRDefault="00002FB7">
      <w:r>
        <w:separator/>
      </w:r>
    </w:p>
  </w:footnote>
  <w:footnote w:type="continuationSeparator" w:id="0">
    <w:p w:rsidR="00002FB7" w:rsidRDefault="00002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9F" w:rsidRDefault="0041696A" w:rsidP="00BD3B84">
    <w:pPr>
      <w:pStyle w:val="a3"/>
      <w:framePr w:wrap="around" w:vAnchor="text" w:hAnchor="margin" w:xAlign="center" w:y="1"/>
      <w:rPr>
        <w:rStyle w:val="a4"/>
        <w:sz w:val="26"/>
      </w:rPr>
    </w:pPr>
    <w:r>
      <w:rPr>
        <w:rStyle w:val="a4"/>
        <w:sz w:val="26"/>
      </w:rPr>
      <w:fldChar w:fldCharType="begin"/>
    </w:r>
    <w:r w:rsidR="0016489F">
      <w:rPr>
        <w:rStyle w:val="a4"/>
        <w:sz w:val="26"/>
      </w:rPr>
      <w:instrText xml:space="preserve">PAGE  </w:instrText>
    </w:r>
    <w:r>
      <w:rPr>
        <w:rStyle w:val="a4"/>
        <w:sz w:val="26"/>
      </w:rPr>
      <w:fldChar w:fldCharType="end"/>
    </w:r>
  </w:p>
  <w:p w:rsidR="0016489F" w:rsidRDefault="0016489F">
    <w:pPr>
      <w:pStyle w:val="a3"/>
      <w:ind w:right="360"/>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F0A"/>
    <w:multiLevelType w:val="multilevel"/>
    <w:tmpl w:val="D6446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C6959"/>
    <w:multiLevelType w:val="hybridMultilevel"/>
    <w:tmpl w:val="AA18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20A7E"/>
    <w:multiLevelType w:val="hybridMultilevel"/>
    <w:tmpl w:val="DF96FB76"/>
    <w:lvl w:ilvl="0" w:tplc="BB401F8C">
      <w:start w:val="2"/>
      <w:numFmt w:val="bullet"/>
      <w:lvlText w:val="-"/>
      <w:lvlJc w:val="left"/>
      <w:pPr>
        <w:ind w:left="1501" w:hanging="360"/>
      </w:pPr>
      <w:rPr>
        <w:rFonts w:ascii="Times New Roman" w:eastAsia="Arial Unicode MS" w:hAnsi="Times New Roman" w:cs="Times New Roman" w:hint="default"/>
      </w:rPr>
    </w:lvl>
    <w:lvl w:ilvl="1" w:tplc="04220003" w:tentative="1">
      <w:start w:val="1"/>
      <w:numFmt w:val="bullet"/>
      <w:lvlText w:val="o"/>
      <w:lvlJc w:val="left"/>
      <w:pPr>
        <w:ind w:left="2221" w:hanging="360"/>
      </w:pPr>
      <w:rPr>
        <w:rFonts w:ascii="Courier New" w:hAnsi="Courier New" w:cs="Courier New" w:hint="default"/>
      </w:rPr>
    </w:lvl>
    <w:lvl w:ilvl="2" w:tplc="04220005" w:tentative="1">
      <w:start w:val="1"/>
      <w:numFmt w:val="bullet"/>
      <w:lvlText w:val=""/>
      <w:lvlJc w:val="left"/>
      <w:pPr>
        <w:ind w:left="2941" w:hanging="360"/>
      </w:pPr>
      <w:rPr>
        <w:rFonts w:ascii="Wingdings" w:hAnsi="Wingdings" w:hint="default"/>
      </w:rPr>
    </w:lvl>
    <w:lvl w:ilvl="3" w:tplc="04220001" w:tentative="1">
      <w:start w:val="1"/>
      <w:numFmt w:val="bullet"/>
      <w:lvlText w:val=""/>
      <w:lvlJc w:val="left"/>
      <w:pPr>
        <w:ind w:left="3661" w:hanging="360"/>
      </w:pPr>
      <w:rPr>
        <w:rFonts w:ascii="Symbol" w:hAnsi="Symbol" w:hint="default"/>
      </w:rPr>
    </w:lvl>
    <w:lvl w:ilvl="4" w:tplc="04220003" w:tentative="1">
      <w:start w:val="1"/>
      <w:numFmt w:val="bullet"/>
      <w:lvlText w:val="o"/>
      <w:lvlJc w:val="left"/>
      <w:pPr>
        <w:ind w:left="4381" w:hanging="360"/>
      </w:pPr>
      <w:rPr>
        <w:rFonts w:ascii="Courier New" w:hAnsi="Courier New" w:cs="Courier New" w:hint="default"/>
      </w:rPr>
    </w:lvl>
    <w:lvl w:ilvl="5" w:tplc="04220005" w:tentative="1">
      <w:start w:val="1"/>
      <w:numFmt w:val="bullet"/>
      <w:lvlText w:val=""/>
      <w:lvlJc w:val="left"/>
      <w:pPr>
        <w:ind w:left="5101" w:hanging="360"/>
      </w:pPr>
      <w:rPr>
        <w:rFonts w:ascii="Wingdings" w:hAnsi="Wingdings" w:hint="default"/>
      </w:rPr>
    </w:lvl>
    <w:lvl w:ilvl="6" w:tplc="04220001" w:tentative="1">
      <w:start w:val="1"/>
      <w:numFmt w:val="bullet"/>
      <w:lvlText w:val=""/>
      <w:lvlJc w:val="left"/>
      <w:pPr>
        <w:ind w:left="5821" w:hanging="360"/>
      </w:pPr>
      <w:rPr>
        <w:rFonts w:ascii="Symbol" w:hAnsi="Symbol" w:hint="default"/>
      </w:rPr>
    </w:lvl>
    <w:lvl w:ilvl="7" w:tplc="04220003" w:tentative="1">
      <w:start w:val="1"/>
      <w:numFmt w:val="bullet"/>
      <w:lvlText w:val="o"/>
      <w:lvlJc w:val="left"/>
      <w:pPr>
        <w:ind w:left="6541" w:hanging="360"/>
      </w:pPr>
      <w:rPr>
        <w:rFonts w:ascii="Courier New" w:hAnsi="Courier New" w:cs="Courier New" w:hint="default"/>
      </w:rPr>
    </w:lvl>
    <w:lvl w:ilvl="8" w:tplc="04220005" w:tentative="1">
      <w:start w:val="1"/>
      <w:numFmt w:val="bullet"/>
      <w:lvlText w:val=""/>
      <w:lvlJc w:val="left"/>
      <w:pPr>
        <w:ind w:left="7261" w:hanging="360"/>
      </w:pPr>
      <w:rPr>
        <w:rFonts w:ascii="Wingdings" w:hAnsi="Wingdings" w:hint="default"/>
      </w:rPr>
    </w:lvl>
  </w:abstractNum>
  <w:abstractNum w:abstractNumId="3">
    <w:nsid w:val="352872FA"/>
    <w:multiLevelType w:val="hybridMultilevel"/>
    <w:tmpl w:val="732CC4AE"/>
    <w:lvl w:ilvl="0" w:tplc="990495A8">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C8215C"/>
    <w:multiLevelType w:val="hybridMultilevel"/>
    <w:tmpl w:val="2350051E"/>
    <w:lvl w:ilvl="0" w:tplc="B9462CEE">
      <w:numFmt w:val="bullet"/>
      <w:lvlText w:val="-"/>
      <w:lvlJc w:val="left"/>
      <w:pPr>
        <w:ind w:left="420" w:hanging="360"/>
      </w:pPr>
      <w:rPr>
        <w:rFonts w:ascii="Times New Roman" w:eastAsia="Arial Unicode MS"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391C233C"/>
    <w:multiLevelType w:val="hybridMultilevel"/>
    <w:tmpl w:val="2E52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8044D2"/>
    <w:multiLevelType w:val="hybridMultilevel"/>
    <w:tmpl w:val="BEB00CC2"/>
    <w:lvl w:ilvl="0" w:tplc="BB401F8C">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6F2469"/>
    <w:multiLevelType w:val="hybridMultilevel"/>
    <w:tmpl w:val="DC4C024A"/>
    <w:lvl w:ilvl="0" w:tplc="990495A8">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92F663C"/>
    <w:multiLevelType w:val="hybridMultilevel"/>
    <w:tmpl w:val="CFA0D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9965E2"/>
    <w:multiLevelType w:val="hybridMultilevel"/>
    <w:tmpl w:val="5DEA6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9"/>
  </w:num>
  <w:num w:numId="6">
    <w:abstractNumId w:val="8"/>
  </w:num>
  <w:num w:numId="7">
    <w:abstractNumId w:val="7"/>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useFELayout/>
  </w:compat>
  <w:rsids>
    <w:rsidRoot w:val="00BD3B84"/>
    <w:rsid w:val="00001E01"/>
    <w:rsid w:val="00002FB7"/>
    <w:rsid w:val="000333A6"/>
    <w:rsid w:val="000440CC"/>
    <w:rsid w:val="00061BC6"/>
    <w:rsid w:val="000644AA"/>
    <w:rsid w:val="00071277"/>
    <w:rsid w:val="0008398E"/>
    <w:rsid w:val="000903BF"/>
    <w:rsid w:val="00093592"/>
    <w:rsid w:val="00096878"/>
    <w:rsid w:val="000A7333"/>
    <w:rsid w:val="000B3F23"/>
    <w:rsid w:val="000C56BF"/>
    <w:rsid w:val="001440A0"/>
    <w:rsid w:val="00145A8D"/>
    <w:rsid w:val="0016489F"/>
    <w:rsid w:val="00174FE7"/>
    <w:rsid w:val="00184262"/>
    <w:rsid w:val="0019579F"/>
    <w:rsid w:val="001E0CDC"/>
    <w:rsid w:val="001E316D"/>
    <w:rsid w:val="002076CC"/>
    <w:rsid w:val="00220E5D"/>
    <w:rsid w:val="00232C09"/>
    <w:rsid w:val="002416F4"/>
    <w:rsid w:val="00247458"/>
    <w:rsid w:val="00257EA8"/>
    <w:rsid w:val="0029129D"/>
    <w:rsid w:val="00292D00"/>
    <w:rsid w:val="002B153D"/>
    <w:rsid w:val="002B7437"/>
    <w:rsid w:val="002C1504"/>
    <w:rsid w:val="002C25AB"/>
    <w:rsid w:val="002C78E9"/>
    <w:rsid w:val="002D286F"/>
    <w:rsid w:val="00322D60"/>
    <w:rsid w:val="0035150C"/>
    <w:rsid w:val="0035600B"/>
    <w:rsid w:val="003647B2"/>
    <w:rsid w:val="003942B9"/>
    <w:rsid w:val="003D5370"/>
    <w:rsid w:val="003E70AF"/>
    <w:rsid w:val="0041696A"/>
    <w:rsid w:val="00431BFA"/>
    <w:rsid w:val="00436C12"/>
    <w:rsid w:val="00445F84"/>
    <w:rsid w:val="00476A56"/>
    <w:rsid w:val="0047745B"/>
    <w:rsid w:val="004869F0"/>
    <w:rsid w:val="004C6171"/>
    <w:rsid w:val="004D0DFC"/>
    <w:rsid w:val="004F32D9"/>
    <w:rsid w:val="0053282F"/>
    <w:rsid w:val="0055307E"/>
    <w:rsid w:val="0056583C"/>
    <w:rsid w:val="005A7991"/>
    <w:rsid w:val="005B5132"/>
    <w:rsid w:val="005D39FD"/>
    <w:rsid w:val="005E13AE"/>
    <w:rsid w:val="005F0213"/>
    <w:rsid w:val="005F6273"/>
    <w:rsid w:val="00606A4F"/>
    <w:rsid w:val="00611A04"/>
    <w:rsid w:val="0063698D"/>
    <w:rsid w:val="006437AE"/>
    <w:rsid w:val="00676E8C"/>
    <w:rsid w:val="006A2127"/>
    <w:rsid w:val="006C0656"/>
    <w:rsid w:val="006D0160"/>
    <w:rsid w:val="006D2BA4"/>
    <w:rsid w:val="00727F24"/>
    <w:rsid w:val="00742C1C"/>
    <w:rsid w:val="007873CD"/>
    <w:rsid w:val="007A3EA0"/>
    <w:rsid w:val="007C1DE6"/>
    <w:rsid w:val="007C7887"/>
    <w:rsid w:val="007D6338"/>
    <w:rsid w:val="007E07BE"/>
    <w:rsid w:val="00856E54"/>
    <w:rsid w:val="00870B3F"/>
    <w:rsid w:val="008848E2"/>
    <w:rsid w:val="008B1B91"/>
    <w:rsid w:val="008C07F7"/>
    <w:rsid w:val="008E058E"/>
    <w:rsid w:val="00900CB5"/>
    <w:rsid w:val="0091046F"/>
    <w:rsid w:val="00942B60"/>
    <w:rsid w:val="00960AB0"/>
    <w:rsid w:val="00980461"/>
    <w:rsid w:val="009852DA"/>
    <w:rsid w:val="009927FB"/>
    <w:rsid w:val="00A3452D"/>
    <w:rsid w:val="00A63731"/>
    <w:rsid w:val="00A64BB0"/>
    <w:rsid w:val="00A75111"/>
    <w:rsid w:val="00A75EC2"/>
    <w:rsid w:val="00A91497"/>
    <w:rsid w:val="00A9378C"/>
    <w:rsid w:val="00A96EDE"/>
    <w:rsid w:val="00AA31EF"/>
    <w:rsid w:val="00AB79F3"/>
    <w:rsid w:val="00AC5C30"/>
    <w:rsid w:val="00AF3BFF"/>
    <w:rsid w:val="00B30E10"/>
    <w:rsid w:val="00B3270C"/>
    <w:rsid w:val="00B32CC4"/>
    <w:rsid w:val="00B7326F"/>
    <w:rsid w:val="00B81960"/>
    <w:rsid w:val="00B86C97"/>
    <w:rsid w:val="00B92C04"/>
    <w:rsid w:val="00B9750A"/>
    <w:rsid w:val="00BC0245"/>
    <w:rsid w:val="00BD0240"/>
    <w:rsid w:val="00BD3B84"/>
    <w:rsid w:val="00BD7B6F"/>
    <w:rsid w:val="00BE169F"/>
    <w:rsid w:val="00C20924"/>
    <w:rsid w:val="00C220C9"/>
    <w:rsid w:val="00C34000"/>
    <w:rsid w:val="00C81B0D"/>
    <w:rsid w:val="00CB5F75"/>
    <w:rsid w:val="00CD1C14"/>
    <w:rsid w:val="00CF633E"/>
    <w:rsid w:val="00D038CF"/>
    <w:rsid w:val="00D23AE3"/>
    <w:rsid w:val="00D24631"/>
    <w:rsid w:val="00D36D38"/>
    <w:rsid w:val="00D436CF"/>
    <w:rsid w:val="00D55F3D"/>
    <w:rsid w:val="00DB30E2"/>
    <w:rsid w:val="00DC530F"/>
    <w:rsid w:val="00E56AA4"/>
    <w:rsid w:val="00E74252"/>
    <w:rsid w:val="00E80890"/>
    <w:rsid w:val="00E819AB"/>
    <w:rsid w:val="00E97137"/>
    <w:rsid w:val="00EC4D91"/>
    <w:rsid w:val="00EE2754"/>
    <w:rsid w:val="00F06DE8"/>
    <w:rsid w:val="00F2711D"/>
    <w:rsid w:val="00F32995"/>
    <w:rsid w:val="00F51523"/>
    <w:rsid w:val="00F546F4"/>
    <w:rsid w:val="00F7493F"/>
    <w:rsid w:val="00FD4316"/>
    <w:rsid w:val="00FD6B66"/>
    <w:rsid w:val="00FE6236"/>
    <w:rsid w:val="00FF55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B84"/>
    <w:rPr>
      <w:rFonts w:eastAsia="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3B84"/>
    <w:pPr>
      <w:tabs>
        <w:tab w:val="center" w:pos="4677"/>
        <w:tab w:val="right" w:pos="9355"/>
      </w:tabs>
    </w:pPr>
    <w:rPr>
      <w:szCs w:val="20"/>
    </w:rPr>
  </w:style>
  <w:style w:type="character" w:styleId="a4">
    <w:name w:val="page number"/>
    <w:basedOn w:val="a0"/>
    <w:rsid w:val="00BD3B84"/>
  </w:style>
  <w:style w:type="paragraph" w:styleId="a5">
    <w:name w:val="Body Text Indent"/>
    <w:basedOn w:val="a"/>
    <w:rsid w:val="00BD3B84"/>
    <w:pPr>
      <w:spacing w:after="120"/>
      <w:ind w:left="283"/>
    </w:pPr>
  </w:style>
  <w:style w:type="paragraph" w:styleId="2">
    <w:name w:val="Body Text 2"/>
    <w:basedOn w:val="a"/>
    <w:rsid w:val="00BD3B84"/>
    <w:pPr>
      <w:spacing w:after="120" w:line="480" w:lineRule="auto"/>
    </w:pPr>
  </w:style>
  <w:style w:type="paragraph" w:styleId="20">
    <w:name w:val="Body Text Indent 2"/>
    <w:basedOn w:val="a"/>
    <w:rsid w:val="00BD3B84"/>
    <w:pPr>
      <w:spacing w:after="120" w:line="480" w:lineRule="auto"/>
      <w:ind w:left="283"/>
    </w:pPr>
  </w:style>
  <w:style w:type="paragraph" w:customStyle="1" w:styleId="a6">
    <w:name w:val="Нормальный"/>
    <w:rsid w:val="00BD3B84"/>
    <w:pPr>
      <w:autoSpaceDE w:val="0"/>
      <w:autoSpaceDN w:val="0"/>
      <w:adjustRightInd w:val="0"/>
    </w:pPr>
    <w:rPr>
      <w:rFonts w:eastAsia="Times New Roman"/>
      <w:sz w:val="28"/>
      <w:szCs w:val="28"/>
      <w:lang w:val="ru-RU" w:eastAsia="ru-RU"/>
    </w:rPr>
  </w:style>
  <w:style w:type="paragraph" w:customStyle="1" w:styleId="1">
    <w:name w:val="Основной текст с отступом1"/>
    <w:basedOn w:val="a"/>
    <w:rsid w:val="00BD3B84"/>
    <w:pPr>
      <w:spacing w:after="120"/>
      <w:ind w:left="283"/>
    </w:pPr>
    <w:rPr>
      <w:sz w:val="20"/>
      <w:szCs w:val="20"/>
    </w:rPr>
  </w:style>
  <w:style w:type="paragraph" w:customStyle="1" w:styleId="a7">
    <w:name w:val="Стиль"/>
    <w:rsid w:val="00BD3B84"/>
    <w:rPr>
      <w:rFonts w:eastAsia="Times New Roman"/>
      <w:lang w:val="en-US" w:eastAsia="ru-RU"/>
    </w:rPr>
  </w:style>
  <w:style w:type="paragraph" w:customStyle="1" w:styleId="a8">
    <w:name w:val="Знак"/>
    <w:basedOn w:val="a"/>
    <w:rsid w:val="00BD3B84"/>
    <w:rPr>
      <w:rFonts w:ascii="Verdana" w:hAnsi="Verdana" w:cs="Verdana"/>
      <w:sz w:val="20"/>
      <w:szCs w:val="20"/>
      <w:lang w:val="en-US" w:eastAsia="en-US"/>
    </w:rPr>
  </w:style>
  <w:style w:type="paragraph" w:customStyle="1" w:styleId="a9">
    <w:name w:val="Знак Знак Знак Знак"/>
    <w:basedOn w:val="a"/>
    <w:rsid w:val="00061BC6"/>
    <w:rPr>
      <w:rFonts w:ascii="Verdana" w:hAnsi="Verdana" w:cs="Verdana"/>
      <w:sz w:val="20"/>
      <w:szCs w:val="20"/>
      <w:lang w:val="en-US" w:eastAsia="en-US"/>
    </w:rPr>
  </w:style>
  <w:style w:type="character" w:customStyle="1" w:styleId="21">
    <w:name w:val="Основной текст (2)"/>
    <w:rsid w:val="008B1B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a">
    <w:name w:val="List Paragraph"/>
    <w:basedOn w:val="a"/>
    <w:uiPriority w:val="34"/>
    <w:qFormat/>
    <w:rsid w:val="00CF633E"/>
    <w:pPr>
      <w:widowControl w:val="0"/>
      <w:ind w:left="720"/>
      <w:contextualSpacing/>
    </w:pPr>
    <w:rPr>
      <w:rFonts w:ascii="Arial Unicode MS" w:eastAsia="Arial Unicode MS" w:hAnsi="Arial Unicode MS" w:cs="Arial Unicode MS"/>
      <w:color w:val="000000"/>
      <w:sz w:val="24"/>
      <w:lang w:eastAsia="uk-UA" w:bidi="uk-UA"/>
    </w:rPr>
  </w:style>
  <w:style w:type="character" w:customStyle="1" w:styleId="24pt">
    <w:name w:val="Основной текст (2) + 4 pt"/>
    <w:rsid w:val="00247458"/>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paragraph" w:styleId="ab">
    <w:name w:val="footer"/>
    <w:basedOn w:val="a"/>
    <w:link w:val="ac"/>
    <w:rsid w:val="00D23AE3"/>
    <w:pPr>
      <w:tabs>
        <w:tab w:val="center" w:pos="4819"/>
        <w:tab w:val="right" w:pos="9639"/>
      </w:tabs>
    </w:pPr>
  </w:style>
  <w:style w:type="character" w:customStyle="1" w:styleId="ac">
    <w:name w:val="Нижний колонтитул Знак"/>
    <w:link w:val="ab"/>
    <w:rsid w:val="00D23AE3"/>
    <w:rPr>
      <w:rFonts w:eastAsia="Times New Roman"/>
      <w:sz w:val="28"/>
      <w:szCs w:val="24"/>
      <w:lang w:eastAsia="ru-RU"/>
    </w:rPr>
  </w:style>
  <w:style w:type="paragraph" w:styleId="ad">
    <w:name w:val="Balloon Text"/>
    <w:basedOn w:val="a"/>
    <w:link w:val="ae"/>
    <w:rsid w:val="000B3F23"/>
    <w:rPr>
      <w:rFonts w:ascii="Segoe UI" w:hAnsi="Segoe UI"/>
      <w:sz w:val="18"/>
      <w:szCs w:val="18"/>
    </w:rPr>
  </w:style>
  <w:style w:type="character" w:customStyle="1" w:styleId="ae">
    <w:name w:val="Текст выноски Знак"/>
    <w:link w:val="ad"/>
    <w:rsid w:val="000B3F23"/>
    <w:rPr>
      <w:rFonts w:ascii="Segoe UI" w:eastAsia="Times New Roman" w:hAnsi="Segoe UI" w:cs="Segoe UI"/>
      <w:sz w:val="18"/>
      <w:szCs w:val="18"/>
      <w:lang w:val="uk-UA"/>
    </w:rPr>
  </w:style>
  <w:style w:type="table" w:styleId="af">
    <w:name w:val="Table Grid"/>
    <w:basedOn w:val="a1"/>
    <w:rsid w:val="00910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3515</Words>
  <Characters>2005</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Пояснювальна записка до Програми</vt:lpstr>
    </vt:vector>
  </TitlesOfParts>
  <Company>diakov.net</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Програми</dc:title>
  <dc:creator>Economika</dc:creator>
  <cp:lastModifiedBy>523-2</cp:lastModifiedBy>
  <cp:revision>6</cp:revision>
  <cp:lastPrinted>2024-02-26T14:35:00Z</cp:lastPrinted>
  <dcterms:created xsi:type="dcterms:W3CDTF">2024-02-23T10:47:00Z</dcterms:created>
  <dcterms:modified xsi:type="dcterms:W3CDTF">2024-02-26T14:38:00Z</dcterms:modified>
</cp:coreProperties>
</file>