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23 листопада 2021 року </w:t>
      </w:r>
    </w:p>
    <w:p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2022-2024 роки»</w:t>
      </w:r>
    </w:p>
    <w:p w:rsidR="009D2571" w:rsidRDefault="009D2571">
      <w:pPr>
        <w:jc w:val="center"/>
        <w:rPr>
          <w:sz w:val="28"/>
          <w:szCs w:val="28"/>
          <w:lang w:val="uk-UA"/>
        </w:rPr>
      </w:pPr>
    </w:p>
    <w:p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КП «Благоустрій Кременчука», як  спеціалізоване підприємство, діяльність якого спрямована на виконання робіт з благоустрою міста,  працює над розвитком зелених зон, належним утриманням зелених насаджень, своєчасним знесенням аварійних, сухостійних та фаутних дерев, здійснення інших видів робіт з благоустрою міста Кременчука. </w:t>
      </w:r>
    </w:p>
    <w:p w:rsidR="009D2571" w:rsidRDefault="002211C9">
      <w:pPr>
        <w:pStyle w:val="a7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>Незважаючи на надважку ситуацію в країні, КП «Благоустрій Кременчука» щоденно проводить роботи з благоустрою міста. Зелені зони, парки, сквери, закріплені за комунальним підприємством території – все це потребує своєчасного догляду.</w:t>
      </w:r>
      <w:r>
        <w:rPr>
          <w:sz w:val="28"/>
          <w:szCs w:val="28"/>
          <w:lang w:val="ru-RU"/>
        </w:rPr>
        <w:t xml:space="preserve"> </w:t>
      </w:r>
    </w:p>
    <w:p w:rsidR="009D2571" w:rsidRDefault="002211C9">
      <w:pPr>
        <w:pStyle w:val="a7"/>
        <w:ind w:firstLine="567"/>
        <w:rPr>
          <w:sz w:val="28"/>
        </w:rPr>
      </w:pPr>
      <w:r>
        <w:rPr>
          <w:sz w:val="28"/>
        </w:rPr>
        <w:t xml:space="preserve">Також в  умовах воєнного стану КП «Благоустрій Кременчука» залучене у здійсненні заходів із забезпечення безпеки та порядку на території Кременчуцької міської територіальної громади, відвернення загрози, відсічі збройній агресії.         </w:t>
      </w:r>
    </w:p>
    <w:p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</w:rPr>
        <w:t xml:space="preserve">З метою забезпечення повноцінної роботи підприємства, підвищення якості озеленення та благоустрою території, </w:t>
      </w:r>
      <w:r w:rsidR="00B00866">
        <w:rPr>
          <w:sz w:val="28"/>
          <w:szCs w:val="28"/>
        </w:rPr>
        <w:t xml:space="preserve">пропонуємо збільшити обсяги </w:t>
      </w:r>
      <w:r>
        <w:rPr>
          <w:sz w:val="28"/>
          <w:szCs w:val="28"/>
        </w:rPr>
        <w:t xml:space="preserve"> фінансування у 2024 році </w:t>
      </w:r>
      <w:r w:rsidR="00B00866">
        <w:rPr>
          <w:sz w:val="28"/>
          <w:szCs w:val="28"/>
        </w:rPr>
        <w:t>на</w:t>
      </w:r>
      <w:r>
        <w:rPr>
          <w:sz w:val="28"/>
          <w:szCs w:val="28"/>
        </w:rPr>
        <w:t xml:space="preserve"> сум</w:t>
      </w:r>
      <w:r w:rsidR="00B00866">
        <w:rPr>
          <w:sz w:val="28"/>
          <w:szCs w:val="28"/>
        </w:rPr>
        <w:t>у</w:t>
      </w:r>
      <w:r>
        <w:rPr>
          <w:sz w:val="28"/>
          <w:szCs w:val="28"/>
        </w:rPr>
        <w:t xml:space="preserve"> 2000,000 тис. грн.</w:t>
      </w:r>
    </w:p>
    <w:p w:rsidR="009D2571" w:rsidRDefault="002211C9">
      <w:pPr>
        <w:pStyle w:val="a7"/>
        <w:ind w:firstLine="567"/>
        <w:rPr>
          <w:sz w:val="28"/>
        </w:rPr>
      </w:pPr>
      <w:r>
        <w:rPr>
          <w:sz w:val="28"/>
        </w:rPr>
        <w:t>Загальна сума на виконання Програми збільши</w:t>
      </w:r>
      <w:r w:rsidR="00B00866">
        <w:rPr>
          <w:sz w:val="28"/>
        </w:rPr>
        <w:t>ться</w:t>
      </w:r>
      <w:r>
        <w:rPr>
          <w:sz w:val="28"/>
        </w:rPr>
        <w:t xml:space="preserve"> на 20</w:t>
      </w:r>
      <w:r>
        <w:rPr>
          <w:sz w:val="28"/>
          <w:lang w:val="ru-RU"/>
        </w:rPr>
        <w:t>00</w:t>
      </w:r>
      <w:r>
        <w:rPr>
          <w:sz w:val="28"/>
        </w:rPr>
        <w:t>,000 тис. грн.</w:t>
      </w:r>
    </w:p>
    <w:p w:rsidR="009D2571" w:rsidRDefault="002211C9">
      <w:pPr>
        <w:pStyle w:val="a7"/>
        <w:ind w:firstLine="567"/>
        <w:rPr>
          <w:color w:val="FF0000"/>
          <w:sz w:val="28"/>
          <w:lang w:val="ru-RU"/>
        </w:rPr>
      </w:pPr>
      <w:r>
        <w:rPr>
          <w:color w:val="FF0000"/>
          <w:sz w:val="28"/>
          <w:lang w:val="ru-RU"/>
        </w:rPr>
        <w:t xml:space="preserve"> </w:t>
      </w:r>
    </w:p>
    <w:p w:rsidR="009D2571" w:rsidRDefault="002211C9" w:rsidP="001C395D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І. У зв’язку з частковою відсутністю фінансування заходів Програми у </w:t>
      </w:r>
      <w:r w:rsidR="001C395D" w:rsidRPr="001C395D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році виникла потреба у коригуванні фінансування наступним чином:</w:t>
      </w:r>
    </w:p>
    <w:p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2211C9">
        <w:rPr>
          <w:sz w:val="28"/>
          <w:szCs w:val="28"/>
          <w:lang w:val="ru-RU"/>
        </w:rPr>
        <w:t xml:space="preserve">   </w:t>
      </w:r>
    </w:p>
    <w:tbl>
      <w:tblPr>
        <w:tblStyle w:val="ac"/>
        <w:tblW w:w="9665" w:type="dxa"/>
        <w:tblLayout w:type="fixed"/>
        <w:tblLook w:val="04A0" w:firstRow="1" w:lastRow="0" w:firstColumn="1" w:lastColumn="0" w:noHBand="0" w:noVBand="1"/>
      </w:tblPr>
      <w:tblGrid>
        <w:gridCol w:w="1860"/>
        <w:gridCol w:w="4231"/>
        <w:gridCol w:w="1787"/>
        <w:gridCol w:w="1787"/>
      </w:tblGrid>
      <w:tr w:rsidR="009D2571">
        <w:tc>
          <w:tcPr>
            <w:tcW w:w="1860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Програми</w:t>
            </w:r>
          </w:p>
          <w:p w:rsidR="009D2571" w:rsidRDefault="009D2571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4231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1787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  <w:tc>
          <w:tcPr>
            <w:tcW w:w="1787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</w:tr>
      <w:tr w:rsidR="009D2571">
        <w:tc>
          <w:tcPr>
            <w:tcW w:w="1860" w:type="dxa"/>
          </w:tcPr>
          <w:p w:rsidR="009D2571" w:rsidRDefault="002211C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17</w:t>
            </w:r>
          </w:p>
        </w:tc>
        <w:tc>
          <w:tcPr>
            <w:tcW w:w="4231" w:type="dxa"/>
          </w:tcPr>
          <w:p w:rsidR="009D2571" w:rsidRDefault="002211C9">
            <w:pPr>
              <w:pStyle w:val="a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787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-76,785</w:t>
            </w:r>
          </w:p>
        </w:tc>
        <w:tc>
          <w:tcPr>
            <w:tcW w:w="1787" w:type="dxa"/>
          </w:tcPr>
          <w:p w:rsidR="009D2571" w:rsidRDefault="002211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+76,785</w:t>
            </w:r>
          </w:p>
        </w:tc>
      </w:tr>
    </w:tbl>
    <w:p w:rsidR="001C395D" w:rsidRDefault="001C395D">
      <w:pPr>
        <w:pStyle w:val="a7"/>
        <w:ind w:firstLine="567"/>
        <w:rPr>
          <w:sz w:val="28"/>
          <w:szCs w:val="28"/>
        </w:rPr>
      </w:pPr>
    </w:p>
    <w:p w:rsidR="009D2571" w:rsidRPr="004432F0" w:rsidRDefault="002211C9">
      <w:pPr>
        <w:pStyle w:val="a7"/>
        <w:ind w:firstLine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 2024 році </w:t>
      </w:r>
      <w:r>
        <w:rPr>
          <w:sz w:val="28"/>
        </w:rPr>
        <w:t xml:space="preserve">КП «Благоустрій Кременчука» планує придбати  механізми по догляду за зеленими насадженнями (бензопили, кущорізи, </w:t>
      </w:r>
      <w:proofErr w:type="spellStart"/>
      <w:r>
        <w:rPr>
          <w:sz w:val="28"/>
        </w:rPr>
        <w:t>мотоножниці</w:t>
      </w:r>
      <w:proofErr w:type="spellEnd"/>
      <w:r>
        <w:rPr>
          <w:sz w:val="28"/>
        </w:rPr>
        <w:t xml:space="preserve">) для заміни тих, що вже не підлягають ремонту. Щоденно до робіт працівниками нашого підприємства залучається </w:t>
      </w:r>
      <w:proofErr w:type="spellStart"/>
      <w:r>
        <w:rPr>
          <w:sz w:val="28"/>
        </w:rPr>
        <w:t>бензотехніка</w:t>
      </w:r>
      <w:proofErr w:type="spellEnd"/>
      <w:r>
        <w:rPr>
          <w:sz w:val="28"/>
        </w:rPr>
        <w:t>, яка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 швидко зношується. Тому підприємство потребує оновлення матеріально-технічної бази,</w:t>
      </w:r>
      <w:r w:rsidR="004432F0" w:rsidRPr="004432F0">
        <w:rPr>
          <w:sz w:val="28"/>
          <w:lang w:val="ru-RU"/>
        </w:rPr>
        <w:t xml:space="preserve"> </w:t>
      </w:r>
      <w:r>
        <w:rPr>
          <w:sz w:val="28"/>
        </w:rPr>
        <w:t xml:space="preserve">орієнтовна вартість </w:t>
      </w:r>
      <w:r w:rsidRPr="004432F0">
        <w:rPr>
          <w:sz w:val="28"/>
        </w:rPr>
        <w:t xml:space="preserve">заходу з урахуванням змін складатиме </w:t>
      </w:r>
      <w:r w:rsidRPr="004432F0">
        <w:rPr>
          <w:sz w:val="28"/>
          <w:lang w:val="ru-RU"/>
        </w:rPr>
        <w:t>754</w:t>
      </w:r>
      <w:r w:rsidRPr="004432F0">
        <w:rPr>
          <w:sz w:val="28"/>
        </w:rPr>
        <w:t>,</w:t>
      </w:r>
      <w:r w:rsidRPr="004432F0">
        <w:rPr>
          <w:sz w:val="28"/>
          <w:lang w:val="ru-RU"/>
        </w:rPr>
        <w:t>150</w:t>
      </w:r>
      <w:r w:rsidRPr="004432F0">
        <w:rPr>
          <w:sz w:val="28"/>
        </w:rPr>
        <w:t xml:space="preserve"> тис. грн.</w:t>
      </w:r>
      <w:r w:rsidRPr="004432F0">
        <w:rPr>
          <w:sz w:val="28"/>
          <w:szCs w:val="28"/>
          <w:lang w:eastAsia="ar-SA"/>
        </w:rPr>
        <w:t xml:space="preserve"> </w:t>
      </w:r>
      <w:r w:rsidRPr="004432F0">
        <w:rPr>
          <w:sz w:val="28"/>
          <w:szCs w:val="28"/>
        </w:rPr>
        <w:t xml:space="preserve">  </w:t>
      </w:r>
    </w:p>
    <w:p w:rsidR="009D2571" w:rsidRPr="004432F0" w:rsidRDefault="009D2571">
      <w:pPr>
        <w:pStyle w:val="a7"/>
        <w:rPr>
          <w:sz w:val="28"/>
          <w:szCs w:val="28"/>
        </w:rPr>
      </w:pPr>
    </w:p>
    <w:p w:rsidR="00B00866" w:rsidRDefault="002211C9" w:rsidP="001C395D">
      <w:pPr>
        <w:pStyle w:val="a7"/>
        <w:ind w:firstLine="567"/>
        <w:rPr>
          <w:sz w:val="28"/>
          <w:szCs w:val="28"/>
        </w:rPr>
      </w:pPr>
      <w:r w:rsidRPr="004432F0">
        <w:rPr>
          <w:sz w:val="28"/>
          <w:szCs w:val="28"/>
        </w:rPr>
        <w:t xml:space="preserve">ІІ. </w:t>
      </w:r>
      <w:r w:rsidR="00B00866">
        <w:rPr>
          <w:sz w:val="28"/>
          <w:szCs w:val="28"/>
        </w:rPr>
        <w:t>Пропонуємо</w:t>
      </w:r>
      <w:r w:rsidR="001C395D" w:rsidRPr="001C395D">
        <w:rPr>
          <w:sz w:val="28"/>
          <w:szCs w:val="28"/>
          <w:lang w:val="ru-RU"/>
        </w:rPr>
        <w:t xml:space="preserve"> </w:t>
      </w:r>
      <w:r w:rsidR="00B00866">
        <w:rPr>
          <w:sz w:val="28"/>
          <w:szCs w:val="28"/>
        </w:rPr>
        <w:t xml:space="preserve"> з</w:t>
      </w:r>
      <w:r w:rsidRPr="004432F0">
        <w:rPr>
          <w:sz w:val="28"/>
          <w:szCs w:val="28"/>
        </w:rPr>
        <w:t>більшити</w:t>
      </w:r>
      <w:r w:rsidR="001C395D" w:rsidRPr="001C395D">
        <w:rPr>
          <w:sz w:val="28"/>
          <w:szCs w:val="28"/>
          <w:lang w:val="ru-RU"/>
        </w:rPr>
        <w:t xml:space="preserve"> </w:t>
      </w:r>
      <w:r w:rsidRPr="004432F0">
        <w:rPr>
          <w:sz w:val="28"/>
          <w:szCs w:val="28"/>
        </w:rPr>
        <w:t xml:space="preserve"> </w:t>
      </w:r>
      <w:r w:rsidR="00B00866">
        <w:rPr>
          <w:sz w:val="28"/>
          <w:szCs w:val="28"/>
        </w:rPr>
        <w:t>у</w:t>
      </w:r>
      <w:r w:rsidR="001C395D" w:rsidRPr="001C395D">
        <w:rPr>
          <w:sz w:val="28"/>
          <w:szCs w:val="28"/>
          <w:lang w:val="ru-RU"/>
        </w:rPr>
        <w:t xml:space="preserve">  </w:t>
      </w:r>
      <w:r w:rsidR="00B00866">
        <w:rPr>
          <w:sz w:val="28"/>
          <w:szCs w:val="28"/>
        </w:rPr>
        <w:t xml:space="preserve"> 2024 році </w:t>
      </w:r>
      <w:r w:rsidR="001C395D" w:rsidRPr="001C395D">
        <w:rPr>
          <w:sz w:val="28"/>
          <w:szCs w:val="28"/>
          <w:lang w:val="ru-RU"/>
        </w:rPr>
        <w:t xml:space="preserve"> </w:t>
      </w:r>
      <w:r w:rsidRPr="004432F0">
        <w:rPr>
          <w:sz w:val="28"/>
          <w:szCs w:val="28"/>
        </w:rPr>
        <w:t>обсяги</w:t>
      </w:r>
      <w:r w:rsidR="001C395D" w:rsidRPr="001C395D">
        <w:rPr>
          <w:sz w:val="28"/>
          <w:szCs w:val="28"/>
          <w:lang w:val="ru-RU"/>
        </w:rPr>
        <w:t xml:space="preserve"> </w:t>
      </w:r>
      <w:r w:rsidRPr="004432F0">
        <w:rPr>
          <w:sz w:val="28"/>
          <w:szCs w:val="28"/>
        </w:rPr>
        <w:t xml:space="preserve"> фінансування </w:t>
      </w:r>
      <w:r w:rsidR="001C395D" w:rsidRPr="001C395D">
        <w:rPr>
          <w:sz w:val="28"/>
          <w:szCs w:val="28"/>
          <w:lang w:val="ru-RU"/>
        </w:rPr>
        <w:t xml:space="preserve"> </w:t>
      </w:r>
      <w:r w:rsidRPr="004432F0">
        <w:rPr>
          <w:sz w:val="28"/>
          <w:szCs w:val="28"/>
        </w:rPr>
        <w:t>пункту</w:t>
      </w:r>
      <w:r w:rsidR="001C395D" w:rsidRPr="001C395D">
        <w:rPr>
          <w:sz w:val="28"/>
          <w:szCs w:val="28"/>
          <w:lang w:val="ru-RU"/>
        </w:rPr>
        <w:t xml:space="preserve">           </w:t>
      </w:r>
      <w:r w:rsidRPr="004432F0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</w:t>
      </w:r>
      <w:r w:rsidR="001C39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Програми </w:t>
      </w:r>
      <w:r w:rsidR="001C395D" w:rsidRPr="001C395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«Благоустрій </w:t>
      </w:r>
      <w:r w:rsidR="001C395D" w:rsidRPr="001C395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зелених </w:t>
      </w:r>
      <w:r w:rsidR="001C395D" w:rsidRPr="001C395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зон </w:t>
      </w:r>
      <w:r w:rsidR="001C395D" w:rsidRPr="001C39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та</w:t>
      </w:r>
      <w:r w:rsidR="001C395D" w:rsidRPr="001C39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зон</w:t>
      </w:r>
      <w:r w:rsidR="001C395D" w:rsidRPr="001C39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відпочинку»</w:t>
      </w:r>
      <w:r w:rsidR="001C395D" w:rsidRPr="001C395D">
        <w:rPr>
          <w:sz w:val="28"/>
          <w:szCs w:val="28"/>
          <w:lang w:val="ru-RU"/>
        </w:rPr>
        <w:t xml:space="preserve"> </w:t>
      </w:r>
      <w:r w:rsidR="00B00866">
        <w:rPr>
          <w:sz w:val="28"/>
          <w:szCs w:val="28"/>
        </w:rPr>
        <w:t xml:space="preserve"> на </w:t>
      </w:r>
      <w:r w:rsidR="001C395D" w:rsidRPr="001C395D">
        <w:rPr>
          <w:sz w:val="28"/>
          <w:szCs w:val="28"/>
          <w:lang w:val="ru-RU"/>
        </w:rPr>
        <w:t xml:space="preserve"> </w:t>
      </w:r>
      <w:r w:rsidR="00B00866">
        <w:rPr>
          <w:sz w:val="28"/>
          <w:szCs w:val="28"/>
        </w:rPr>
        <w:t>суму 2000,000 тис. грн.</w:t>
      </w:r>
    </w:p>
    <w:p w:rsidR="009D2571" w:rsidRDefault="002211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 w:eastAsia="ru-RU"/>
        </w:rPr>
        <w:t xml:space="preserve">Зелені зони, парки, сквери – все це потребує своєчасного догляду та ремонту. </w:t>
      </w:r>
      <w:r>
        <w:rPr>
          <w:sz w:val="28"/>
          <w:szCs w:val="28"/>
          <w:lang w:val="uk-UA"/>
        </w:rPr>
        <w:t xml:space="preserve">У 2024 році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направлені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lastRenderedPageBreak/>
        <w:t>відтворення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Заплановано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скверів</w:t>
      </w:r>
      <w:proofErr w:type="spellEnd"/>
      <w:r>
        <w:rPr>
          <w:sz w:val="28"/>
          <w:szCs w:val="28"/>
        </w:rPr>
        <w:t xml:space="preserve"> і зон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балансоутримувачем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</w:t>
      </w:r>
      <w:r w:rsidR="00130DF6">
        <w:rPr>
          <w:sz w:val="28"/>
          <w:szCs w:val="28"/>
        </w:rPr>
        <w:t>х</w:t>
      </w:r>
      <w:proofErr w:type="spellEnd"/>
      <w:r w:rsidR="00130DF6">
        <w:rPr>
          <w:sz w:val="28"/>
          <w:szCs w:val="28"/>
        </w:rPr>
        <w:t xml:space="preserve"> є КП «</w:t>
      </w:r>
      <w:proofErr w:type="spellStart"/>
      <w:r w:rsidR="00130DF6">
        <w:rPr>
          <w:sz w:val="28"/>
          <w:szCs w:val="28"/>
        </w:rPr>
        <w:t>Благоустрій</w:t>
      </w:r>
      <w:proofErr w:type="spellEnd"/>
      <w:r w:rsidR="00130DF6">
        <w:rPr>
          <w:sz w:val="28"/>
          <w:szCs w:val="28"/>
        </w:rPr>
        <w:t xml:space="preserve"> </w:t>
      </w:r>
      <w:proofErr w:type="spellStart"/>
      <w:r w:rsidR="00130DF6">
        <w:rPr>
          <w:sz w:val="28"/>
          <w:szCs w:val="28"/>
        </w:rPr>
        <w:t>Кременчука</w:t>
      </w:r>
      <w:proofErr w:type="spellEnd"/>
      <w:r w:rsidR="00130DF6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насамперед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зеленої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сквері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зеленої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районі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BE09D0">
        <w:rPr>
          <w:sz w:val="28"/>
          <w:szCs w:val="28"/>
          <w:lang w:val="uk-UA"/>
        </w:rPr>
        <w:t>Університетська</w:t>
      </w:r>
      <w:r>
        <w:rPr>
          <w:sz w:val="28"/>
          <w:szCs w:val="28"/>
        </w:rPr>
        <w:t xml:space="preserve">, 1.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зон та зон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орієнтовна</w:t>
      </w:r>
      <w:proofErr w:type="spellEnd"/>
      <w:r>
        <w:rPr>
          <w:sz w:val="28"/>
          <w:szCs w:val="28"/>
        </w:rPr>
        <w:t xml:space="preserve"> сума 2000,000 тис.</w:t>
      </w:r>
      <w:r>
        <w:rPr>
          <w:sz w:val="28"/>
          <w:szCs w:val="28"/>
          <w:lang w:val="uk-UA"/>
        </w:rPr>
        <w:t xml:space="preserve"> г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>.</w:t>
      </w:r>
    </w:p>
    <w:p w:rsidR="009D2571" w:rsidRDefault="009D2571">
      <w:pPr>
        <w:ind w:firstLine="567"/>
        <w:jc w:val="both"/>
        <w:rPr>
          <w:sz w:val="28"/>
          <w:szCs w:val="28"/>
        </w:rPr>
      </w:pPr>
    </w:p>
    <w:p w:rsidR="009D2571" w:rsidRPr="004432F0" w:rsidRDefault="002211C9">
      <w:pPr>
        <w:ind w:firstLine="567"/>
        <w:jc w:val="both"/>
        <w:rPr>
          <w:sz w:val="28"/>
          <w:szCs w:val="28"/>
        </w:rPr>
      </w:pPr>
      <w:r w:rsidRPr="004432F0">
        <w:rPr>
          <w:sz w:val="28"/>
          <w:szCs w:val="28"/>
        </w:rPr>
        <w:t xml:space="preserve"> </w:t>
      </w:r>
    </w:p>
    <w:p w:rsidR="009D2571" w:rsidRDefault="009D2571">
      <w:pPr>
        <w:pStyle w:val="a7"/>
        <w:ind w:firstLine="567"/>
        <w:rPr>
          <w:sz w:val="28"/>
          <w:szCs w:val="28"/>
          <w:lang w:eastAsia="ar-SA"/>
        </w:rPr>
      </w:pPr>
    </w:p>
    <w:p w:rsidR="009D2571" w:rsidRDefault="002211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D2571" w:rsidRDefault="002211C9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:rsidR="009D2571" w:rsidRDefault="002211C9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:rsidR="009D2571" w:rsidRDefault="009D2571">
      <w:pPr>
        <w:rPr>
          <w:b/>
          <w:bCs/>
          <w:lang w:val="uk-UA"/>
        </w:rPr>
      </w:pPr>
    </w:p>
    <w:p w:rsidR="009D2571" w:rsidRDefault="009D2571">
      <w:pPr>
        <w:rPr>
          <w:lang w:val="uk-UA"/>
        </w:rPr>
      </w:pPr>
    </w:p>
    <w:p w:rsidR="009D2571" w:rsidRDefault="009D2571">
      <w:pPr>
        <w:rPr>
          <w:lang w:val="uk-UA"/>
        </w:rPr>
      </w:pPr>
    </w:p>
    <w:sectPr w:rsidR="009D2571" w:rsidSect="00130DF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7E"/>
    <w:rsid w:val="00011AF6"/>
    <w:rsid w:val="00051B84"/>
    <w:rsid w:val="000529CD"/>
    <w:rsid w:val="0008645B"/>
    <w:rsid w:val="000F136B"/>
    <w:rsid w:val="000F4CA0"/>
    <w:rsid w:val="000F5A02"/>
    <w:rsid w:val="00100418"/>
    <w:rsid w:val="0012268C"/>
    <w:rsid w:val="00130DF6"/>
    <w:rsid w:val="0014786D"/>
    <w:rsid w:val="001558FE"/>
    <w:rsid w:val="00157C69"/>
    <w:rsid w:val="00186B41"/>
    <w:rsid w:val="00187FA6"/>
    <w:rsid w:val="001B7E31"/>
    <w:rsid w:val="001C395D"/>
    <w:rsid w:val="00200E98"/>
    <w:rsid w:val="002211C9"/>
    <w:rsid w:val="00226EDE"/>
    <w:rsid w:val="002A5079"/>
    <w:rsid w:val="002B51E1"/>
    <w:rsid w:val="002C1B8B"/>
    <w:rsid w:val="002E423D"/>
    <w:rsid w:val="002F6E65"/>
    <w:rsid w:val="00323365"/>
    <w:rsid w:val="00334A15"/>
    <w:rsid w:val="0034481F"/>
    <w:rsid w:val="0036050D"/>
    <w:rsid w:val="0036675C"/>
    <w:rsid w:val="003772A2"/>
    <w:rsid w:val="003A120E"/>
    <w:rsid w:val="003E15ED"/>
    <w:rsid w:val="003F4D44"/>
    <w:rsid w:val="00431AA0"/>
    <w:rsid w:val="004432F0"/>
    <w:rsid w:val="00456F9C"/>
    <w:rsid w:val="00493B94"/>
    <w:rsid w:val="004D39A0"/>
    <w:rsid w:val="004E183E"/>
    <w:rsid w:val="004E5CC0"/>
    <w:rsid w:val="00534FB3"/>
    <w:rsid w:val="00554B6E"/>
    <w:rsid w:val="005A5511"/>
    <w:rsid w:val="005B023B"/>
    <w:rsid w:val="005B4EE0"/>
    <w:rsid w:val="005B572C"/>
    <w:rsid w:val="005C52B7"/>
    <w:rsid w:val="005E3090"/>
    <w:rsid w:val="005E45AA"/>
    <w:rsid w:val="005F1B6C"/>
    <w:rsid w:val="00600007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7115"/>
    <w:rsid w:val="00756C3F"/>
    <w:rsid w:val="007A7468"/>
    <w:rsid w:val="007C281E"/>
    <w:rsid w:val="007D4977"/>
    <w:rsid w:val="00814ACC"/>
    <w:rsid w:val="00820214"/>
    <w:rsid w:val="00823281"/>
    <w:rsid w:val="00864803"/>
    <w:rsid w:val="00883913"/>
    <w:rsid w:val="008C0E11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A1B45"/>
    <w:rsid w:val="009B02D2"/>
    <w:rsid w:val="009B665A"/>
    <w:rsid w:val="009C5760"/>
    <w:rsid w:val="009D2571"/>
    <w:rsid w:val="009D5B83"/>
    <w:rsid w:val="009F6EE2"/>
    <w:rsid w:val="00A116A4"/>
    <w:rsid w:val="00A72E17"/>
    <w:rsid w:val="00A80636"/>
    <w:rsid w:val="00AB192F"/>
    <w:rsid w:val="00AD19E2"/>
    <w:rsid w:val="00AD6E2A"/>
    <w:rsid w:val="00B00866"/>
    <w:rsid w:val="00B06B0A"/>
    <w:rsid w:val="00B12A16"/>
    <w:rsid w:val="00B14482"/>
    <w:rsid w:val="00B50893"/>
    <w:rsid w:val="00B531FB"/>
    <w:rsid w:val="00B547B9"/>
    <w:rsid w:val="00B73F2A"/>
    <w:rsid w:val="00BB6D2E"/>
    <w:rsid w:val="00BC1062"/>
    <w:rsid w:val="00BE09D0"/>
    <w:rsid w:val="00BE0F55"/>
    <w:rsid w:val="00C011C3"/>
    <w:rsid w:val="00C0387E"/>
    <w:rsid w:val="00C165B3"/>
    <w:rsid w:val="00C85B56"/>
    <w:rsid w:val="00C97857"/>
    <w:rsid w:val="00CA5EFB"/>
    <w:rsid w:val="00CB1DD7"/>
    <w:rsid w:val="00CB579C"/>
    <w:rsid w:val="00CD4F25"/>
    <w:rsid w:val="00D03DBB"/>
    <w:rsid w:val="00D23958"/>
    <w:rsid w:val="00D52C1A"/>
    <w:rsid w:val="00D820DC"/>
    <w:rsid w:val="00DA3004"/>
    <w:rsid w:val="00DB18CF"/>
    <w:rsid w:val="00DC2137"/>
    <w:rsid w:val="00DD4B53"/>
    <w:rsid w:val="00DE2AFB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E39FF"/>
    <w:rsid w:val="00EF3BDA"/>
    <w:rsid w:val="00F03344"/>
    <w:rsid w:val="00F113AD"/>
    <w:rsid w:val="00F14B8B"/>
    <w:rsid w:val="00F4504D"/>
    <w:rsid w:val="00F47551"/>
    <w:rsid w:val="00F511EB"/>
    <w:rsid w:val="00F67967"/>
    <w:rsid w:val="00FA6919"/>
    <w:rsid w:val="00FB3213"/>
    <w:rsid w:val="00FC2C2B"/>
    <w:rsid w:val="00FC4585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B7F6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Smetchik</cp:lastModifiedBy>
  <cp:revision>7</cp:revision>
  <cp:lastPrinted>2023-12-12T12:40:00Z</cp:lastPrinted>
  <dcterms:created xsi:type="dcterms:W3CDTF">2023-12-12T06:25:00Z</dcterms:created>
  <dcterms:modified xsi:type="dcterms:W3CDTF">2023-12-13T10:02:00Z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