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Додаток </w:t>
      </w:r>
    </w:p>
    <w:p>
      <w:pPr>
        <w:spacing w:before="0" w:after="0" w:line="240"/>
        <w:ind w:right="0" w:left="0" w:firstLine="0"/>
        <w:jc w:val="righ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до рішення міської ради</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від 10 жовтня 2017 року</w:t>
      </w:r>
    </w:p>
    <w:p>
      <w:pPr>
        <w:spacing w:before="0" w:after="0" w:line="240"/>
        <w:ind w:right="0" w:left="4956" w:firstLine="709"/>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Комплексна програма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розвитку</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комунального некомерційного медичного підприємства</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Центр первинної медико-санітарної допомоги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 </w:t>
      </w:r>
      <w:r>
        <w:rPr>
          <w:rFonts w:ascii="Times New Roman" w:hAnsi="Times New Roman" w:cs="Times New Roman" w:eastAsia="Times New Roman"/>
          <w:b/>
          <w:color w:val="auto"/>
          <w:spacing w:val="0"/>
          <w:position w:val="0"/>
          <w:sz w:val="28"/>
          <w:shd w:fill="auto" w:val="clear"/>
        </w:rPr>
        <w:t xml:space="preserve">м. Кременчука </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 2017-2019 роки</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numPr>
          <w:ilvl w:val="0"/>
          <w:numId w:val="6"/>
        </w:numPr>
        <w:spacing w:before="0" w:after="0" w:line="240"/>
        <w:ind w:right="0" w:left="1069" w:hanging="36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Паспорт Програми.</w:t>
      </w:r>
    </w:p>
    <w:p>
      <w:pPr>
        <w:spacing w:before="0" w:after="0" w:line="240"/>
        <w:ind w:right="0" w:left="1069"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Назва Програми: Комплексна програма розвитку комунального некомерційного медичного підприємства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Центр первинної медико-санітарної допомоги </w:t>
      </w:r>
      <w:r>
        <w:rPr>
          <w:rFonts w:ascii="Segoe UI Symbol" w:hAnsi="Segoe UI Symbol" w:cs="Segoe UI Symbol" w:eastAsia="Segoe UI Symbol"/>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1» </w:t>
      </w:r>
      <w:r>
        <w:rPr>
          <w:rFonts w:ascii="Times New Roman" w:hAnsi="Times New Roman" w:cs="Times New Roman" w:eastAsia="Times New Roman"/>
          <w:color w:val="auto"/>
          <w:spacing w:val="0"/>
          <w:position w:val="0"/>
          <w:sz w:val="28"/>
          <w:shd w:fill="FFFFFF" w:val="clear"/>
        </w:rPr>
        <w:t xml:space="preserve">м. Кременчука на 2017-2019 роки.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Ініціатор розроблення програми: Кременчуцька міська рада Полтавської області.</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Важливість розроблення програми виникла у зв’язку з потребою підвищення ефективності, доступності та результативності охорони здоров’я, вдосконалення у забезпеченні рівної доступності послуг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належної якості населенню м. Кременчука.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Розробник програми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управління охорони здоров’я виконавчого комітету Кременчуцької міської ради Полтавської області.</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Виконавець Програми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управління охорони здоров’я виконавчого комітету Кременчуцької міської ради Полтавської області, Комунальне некомерційне медичне підприємство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Центр первинної медико-санітарної допомоги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м. Кременчука.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Керівник Програми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начальник управління охорони здоров’я  виконавчого комітету Кременчуцької міської ради Полтавської області.</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Термін реалізації Програми: 2017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роки.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Обсяги фінансування Програми: щорічно з розподілом по роках.</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Загальні положення.</w:t>
      </w:r>
    </w:p>
    <w:p>
      <w:pPr>
        <w:spacing w:before="0" w:after="0" w:line="240"/>
        <w:ind w:right="0" w:left="0" w:firstLine="709"/>
        <w:jc w:val="center"/>
        <w:rPr>
          <w:rFonts w:ascii="Times New Roman" w:hAnsi="Times New Roman" w:cs="Times New Roman" w:eastAsia="Times New Roman"/>
          <w:b/>
          <w:color w:val="auto"/>
          <w:spacing w:val="0"/>
          <w:position w:val="0"/>
          <w:sz w:val="28"/>
          <w:shd w:fill="FF00FF"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Охорона здоров’я визначається одним із пріоритетних напрямків державної політики та одним із основних факторів національної безпеки країни.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Перспективність розвитку суспільства визначається станом здоров’я людини та витратами на охорону здоров’я.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Створення комунального некомерційного медичного підприємства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Центр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м. Кременчука сприятиме збільшенню господарської та фінансової автономії, формуванню стимулів для поліпшення якості медичного обслуговування населення та підвищення економічної ефективності використання активів.</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Комплексна програма розвитку комунального некомерційного медичного підприємства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Центр первинної медико - санітарної допомоги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м. Кременчука на  2017-2019 роки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далі Програма) розроблена на підставі Закону України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 місцеве самоврядування в Україні від 21.05.1997 р.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280/97-</w:t>
      </w:r>
      <w:r>
        <w:rPr>
          <w:rFonts w:ascii="Times New Roman" w:hAnsi="Times New Roman" w:cs="Times New Roman" w:eastAsia="Times New Roman"/>
          <w:color w:val="auto"/>
          <w:spacing w:val="0"/>
          <w:position w:val="0"/>
          <w:sz w:val="28"/>
          <w:shd w:fill="auto" w:val="clear"/>
        </w:rPr>
        <w:t xml:space="preserve">ВР, Цивільного кодексу України від 16.01.2003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435-</w:t>
      </w:r>
      <w:r>
        <w:rPr>
          <w:rFonts w:ascii="Times New Roman" w:hAnsi="Times New Roman" w:cs="Times New Roman" w:eastAsia="Times New Roman"/>
          <w:color w:val="auto"/>
          <w:spacing w:val="0"/>
          <w:position w:val="0"/>
          <w:sz w:val="28"/>
          <w:shd w:fill="auto" w:val="clear"/>
        </w:rPr>
        <w:t xml:space="preserve">ІУ, Господарського кодексу України від  16.01.2003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436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ІУ Бюджетного кодексу України від 08.07.2010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2456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УІ, Закону України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Основи законодавства України про охорону здоров’я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від 19.11.1992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28014-</w:t>
      </w:r>
      <w:r>
        <w:rPr>
          <w:rFonts w:ascii="Times New Roman" w:hAnsi="Times New Roman" w:cs="Times New Roman" w:eastAsia="Times New Roman"/>
          <w:color w:val="auto"/>
          <w:spacing w:val="0"/>
          <w:position w:val="0"/>
          <w:sz w:val="28"/>
          <w:shd w:fill="auto" w:val="clear"/>
        </w:rPr>
        <w:t xml:space="preserve">ХІІ, розпорядження КМУ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 схвалення концепції реформи фінансування системи охорони здоров’я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від 30.11.2016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1013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 рішення Кременчуцької міської ради  Полтавської області від 07.09.2017 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 реорганізацію комунальних закладів Центри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1,2,3 </w:t>
      </w:r>
      <w:r>
        <w:rPr>
          <w:rFonts w:ascii="Times New Roman" w:hAnsi="Times New Roman" w:cs="Times New Roman" w:eastAsia="Times New Roman"/>
          <w:color w:val="auto"/>
          <w:spacing w:val="0"/>
          <w:position w:val="0"/>
          <w:sz w:val="28"/>
          <w:shd w:fill="auto" w:val="clear"/>
        </w:rPr>
        <w:t xml:space="preserve">шляхом перетворення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програмі визначено мету розвитку комунального некомерційного медичного підприємства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Центр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м. Кременчука, проведено аналіз надання медичних, господарських та інших послуг, розроблені основні завдання, вирішення яких сприятимуть наданню  якісної, ефективної, доступної кваліфікованої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мешканцям міста Кременчука та іншим громадянам.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Мета та завдання Програми.</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Метою прийняття та реалізації Програми є  покращення якості, доступності, ефективності, своєчасності надання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забезпечення  соціальної справедливості і захисту прав громадян на охорону здоров’я, включаючи забезпечення умов для зміцнення здоров’я населення шляхом підтримки громадського здоров’я, профілактики захворювань, раннього виявлення факторів ризику хвороб,  зниження захворюваності, інвалідності, смертності, забезпечення керованості та безперервності медичної допомоги.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Програма направлена на впровадження нових підходів організації роботи закладу охорони здоров’я, його фінансового забезпечення, підвищення ефективності використання бюджетних  коштів.</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Основними завданнями Програми є: пріоритетний розвиток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на засадах загальної практики сімейної медицини, удосконалення надання невідкладної медичної допомоги на первинному рівні, забезпечення та організація медичного маршруту пацієнта на різні рівні надання медичної допомоги, покращення кадрового забезпечення лікарями первинної ланки, забезпечення належного фінансування, впровадження нових сучасних технологій та електронного документообігу з приєднанням до електронної системи охорони здоров’я, раціональне використання ресурсів, поповнення та оновлення матеріально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технічного оснащення амбулаторій загальної практики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сімейної медицини, відповідно табелю  оснащення, підвищення економічної мотивації медичних працівників первинної ланки.</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Проблеми первинної медико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санітарної допомоги, на розв’язання яких спрямована Програма.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Предметом діяльності комунального некомерційного медичного підприємства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Центр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м. Кременчука є медична практика з надання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жителям міста, які отримують медичну допомогу в лікувально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профілактичних підрозділах, а саме в амбулаторіях загальної практики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сімейної медицини.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Нормативна потужність закладу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337 </w:t>
      </w:r>
      <w:r>
        <w:rPr>
          <w:rFonts w:ascii="Times New Roman" w:hAnsi="Times New Roman" w:cs="Times New Roman" w:eastAsia="Times New Roman"/>
          <w:color w:val="auto"/>
          <w:spacing w:val="0"/>
          <w:position w:val="0"/>
          <w:sz w:val="28"/>
          <w:shd w:fill="auto" w:val="clear"/>
        </w:rPr>
        <w:t xml:space="preserve">відвідувань на зміну, фактична в середньому складає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400 </w:t>
      </w:r>
      <w:r>
        <w:rPr>
          <w:rFonts w:ascii="Times New Roman" w:hAnsi="Times New Roman" w:cs="Times New Roman" w:eastAsia="Times New Roman"/>
          <w:color w:val="auto"/>
          <w:spacing w:val="0"/>
          <w:position w:val="0"/>
          <w:sz w:val="28"/>
          <w:shd w:fill="auto" w:val="clear"/>
        </w:rPr>
        <w:t xml:space="preserve">відвідувань. На даний час, враховуючи процеси реформування медичної галузі, виріс охват населення профілактичними оглядами, покращилось виявлення захворювань, проводиться робота по формуванню серед населення здорового способу життя, здійснюється диспансерний нагляд за хронічними хворими, що в цілому привело до зменшення  кількості викликів швидкої медичної допомоги та кількості звернень за наданням невідкладної медичної допомоги, покращилась доступність населення до кваліфікованої медичної допомоги, широко використовуються стаціонарозамінні технології, незначно покращилась кадрова забезпеченість лікарями, частково покращилось матеріально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технічне та медикаментозне забезпечення. Однак залишається  ряд проблем, а саме: зберігається ріст смертності на фоні зниження народжуваності, що в цілому погіршує демографічні показники та зменшує природний приріст населення; зберігається ріст поширеності хронічних неінфекційних захворювань за рахунок хвороб системи кровообігу, а саме артеріальної гіпертензії, ішемічної хвороби серця, цереброваскулярних хвороб, злоякісних новоутворень, хвороб ендокринної системи та шлунково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кишкового тракту. При цьому на хронічні хвороби страждають 58 відсотків  дорослого населення. Зберігається тенденція до погіршення стану здоров’я серед молоді, росту соціально небезпечних хвороб у тому числі туберкульозу ВІЛ/СНІДу. Низька укомплектованість штатними посадами лікарів первинної ланки свідчить про зниження  престижу професії та приводить до збільшення навантаження на лікарів, що погіршує якість та своєчасність надання медичної допомоги.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Залишається низка питань на первинній ланці, які потребують доопрацювання та вирішення, а саме: </w:t>
      </w: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недостатнє фінансування з бюджету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66% </w:t>
      </w:r>
      <w:r>
        <w:rPr>
          <w:rFonts w:ascii="Times New Roman" w:hAnsi="Times New Roman" w:cs="Times New Roman" w:eastAsia="Times New Roman"/>
          <w:color w:val="auto"/>
          <w:spacing w:val="0"/>
          <w:position w:val="0"/>
          <w:sz w:val="28"/>
          <w:shd w:fill="auto" w:val="clear"/>
        </w:rPr>
        <w:t xml:space="preserve">від потреби;</w:t>
      </w: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недостатність кадрового забезпечення фізичними особами  лікарів загальної практики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сімейних лікарів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63% </w:t>
      </w:r>
      <w:r>
        <w:rPr>
          <w:rFonts w:ascii="Times New Roman" w:hAnsi="Times New Roman" w:cs="Times New Roman" w:eastAsia="Times New Roman"/>
          <w:color w:val="auto"/>
          <w:spacing w:val="0"/>
          <w:position w:val="0"/>
          <w:sz w:val="28"/>
          <w:shd w:fill="auto" w:val="clear"/>
        </w:rPr>
        <w:t xml:space="preserve">від потреби, із яких питома вага лікарів ЗПСЛ пенсійного віку складає 30%;</w:t>
      </w: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відсутність належних умов праці із-за недостатньої кількості приміщень, що призводить до  ускладнення   належної організації та зниження якості при наданні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w:t>
      </w: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невідповідність вимогам нормативних документів матеріально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технічного оснащення амбулаторій загальної практики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сімейної медицини;</w:t>
      </w: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приміщення всіх амбулаторій ЗПСМ потребують капітального ремонту;</w:t>
      </w: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неповне забезпечення закладу транспортними засобами з метою забезпечення  надання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на дому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83%, </w:t>
      </w:r>
      <w:r>
        <w:rPr>
          <w:rFonts w:ascii="Times New Roman" w:hAnsi="Times New Roman" w:cs="Times New Roman" w:eastAsia="Times New Roman"/>
          <w:color w:val="auto"/>
          <w:spacing w:val="0"/>
          <w:position w:val="0"/>
          <w:sz w:val="28"/>
          <w:shd w:fill="auto" w:val="clear"/>
        </w:rPr>
        <w:t xml:space="preserve">при цьому два транспортних засоби потребують заміни;</w:t>
      </w: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недостатність фінансування пільгового забезпечення лікарськими засобами у разі амбулаторного лікування окремих груп населення та категорій захворювань;</w:t>
      </w: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низький рівень інформаційно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технологічного забезпечення структурних підрозділів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21%.</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Шляхи та способи виконання Програми </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Оптимальними шляхами розв’язання проблем визначених Програмою є:</w:t>
      </w:r>
    </w:p>
    <w:p>
      <w:pPr>
        <w:numPr>
          <w:ilvl w:val="0"/>
          <w:numId w:val="27"/>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запровадження нової моделі фінансування шляхом переходу від фінансування постатейних кошторисів до оплати фактично наданої медичної допомоги за обслуговування кожного пацієнта, тобто запровадження принципу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гроші ходять за пацієнтом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що створить умови для повноцінного розвитку комунального некомерційного медичного підприємства:</w:t>
      </w:r>
    </w:p>
    <w:p>
      <w:pPr>
        <w:numPr>
          <w:ilvl w:val="0"/>
          <w:numId w:val="27"/>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удосконалення форм оплати праці працівників з врахуванням об’єму та якості виконаної роботи, що підвищить економічну мотивацію, лікарів ЗПСЛ,  сестер медичних ЗПСМ та дозволить укомплектувати, в першу чергу лікарями, первинну ланку;</w:t>
      </w:r>
    </w:p>
    <w:p>
      <w:pPr>
        <w:numPr>
          <w:ilvl w:val="0"/>
          <w:numId w:val="27"/>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залучення молодих спеціалістів після проходження інтернатури за фахом загальна практика - сімейна медицина до працевлаштування шляхом підвищення престижу професії лікаря первинної ланки;</w:t>
      </w:r>
    </w:p>
    <w:p>
      <w:pPr>
        <w:numPr>
          <w:ilvl w:val="0"/>
          <w:numId w:val="27"/>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покращення матеріально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технічного оснащення структурних підрозділів та забезпечення належних умов праці з метою підвищення якості, доступності, ефективності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шляхом збільшення фінансування , як з  бюджету так і додаткових надходжень, не заборонених діючим законодавством;</w:t>
      </w:r>
    </w:p>
    <w:p>
      <w:pPr>
        <w:numPr>
          <w:ilvl w:val="0"/>
          <w:numId w:val="27"/>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удосконалення системи профілактичних заходів серед населення, диспансерного нагляду за хворими та збільшення охвату забезпечення пільгових категорій населення лікарськими засобами, що призведе до збільшення тривалості та якості життя;</w:t>
      </w:r>
    </w:p>
    <w:p>
      <w:pPr>
        <w:numPr>
          <w:ilvl w:val="0"/>
          <w:numId w:val="27"/>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покращення інформаційно технологічного забезпечення структурних підрозділів закладу з ціллю підключення до електронної системи охорони здоров’я, яка замінить паперову медичну документацію та вивільнить час на її оформлення, дасть змогу не тільки мати цілісну картину про здоров’я пацієнта в електронному виді, а й  забезпечить можливість  виписувати електронні рецепти, а в подальшому надають можливість пацієнтам швидко отримувати медичну інформацію про стан свого здоров’я без відвідування лікаря. </w:t>
      </w:r>
    </w:p>
    <w:p>
      <w:pPr>
        <w:numPr>
          <w:ilvl w:val="0"/>
          <w:numId w:val="27"/>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оновлення  в структурних підрозділах транспортних засобів покращить своєчасне надання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в тому числі  паліативної, невідкладної медичної допомоги, обслуговування викликів та  проведення обстеження на дому хворих.</w:t>
      </w:r>
    </w:p>
    <w:p>
      <w:pPr>
        <w:spacing w:before="0" w:after="0" w:line="240"/>
        <w:ind w:right="0" w:left="0" w:firstLine="0"/>
        <w:jc w:val="both"/>
        <w:rPr>
          <w:rFonts w:ascii="Times New Roman" w:hAnsi="Times New Roman" w:cs="Times New Roman" w:eastAsia="Times New Roman"/>
          <w:color w:val="auto"/>
          <w:spacing w:val="0"/>
          <w:position w:val="0"/>
          <w:sz w:val="28"/>
          <w:shd w:fill="C0C0C0" w:val="clear"/>
        </w:rPr>
      </w:pP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Очікувані результати  виконання Програми.</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Виконання програми дасть змогу:</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підвищити ефективність надання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що позначиться на зниженні показника захворюваності на інвалідизуючі хвороби до кінця 2019 року на 3-5 відсотків;</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збільшити питому вагу медичних послуг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 що надаються лікарями загальної практики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сімейними лікарями щороку на 10 відсотків, довівши його  до 85- 90 відсотків;</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збільшити відсоток укомплектування закладу кваліфікованими лікарями первинної ланки за фахом загальна практика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сімейна медицина, довівши до кінця 2019 року до 95-100 відсотків;</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покращити матеріально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технічне оснащення амбулаторій загальної практики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сімейної медицини, досягнувши до 95-100 відсотків відповідно табеля оснащення;</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покращити профілактичні заходи та ранню діагностику хвороб серцево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судинної системи, злоякісних новоутворень, ендокринної системи, що дасть змогу знизити смертність, інвалідність даної патології до 3-5 відсотків;</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підвищити якість лікування пільгових категорій населення, забезпечивши їх в повному об’ємі від потреби лікарськими засобами на пільгових умовах;</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зменшити кількість звернень за вторинною (спеціалізованою) медичною допомогою до 30 відсотків шляхом збільшення обсягу медичних послуг при наданні первинної медико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санітарної допомоги;</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збільшити охват населення медичними послугами первинної медико - санітарної допомоги, в тому числі паліативної та невідкладної медичної допомоги на дому шляхом оновлення транспортних засобів до 15-20 відсотків;</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зменшити керовану інфекційну захворюваність шляхом своєчасного проведення імунопрофілактики;</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підвищити ефективність використання бюджетних коштів;</w:t>
      </w:r>
    </w:p>
    <w:p>
      <w:pPr>
        <w:numPr>
          <w:ilvl w:val="0"/>
          <w:numId w:val="32"/>
        </w:num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забезпечити раціональне використання ресурсів та надавати якісну медичну допомогу відповідного рівня.</w:t>
      </w:r>
    </w:p>
    <w:p>
      <w:pPr>
        <w:spacing w:before="0" w:after="0" w:line="240"/>
        <w:ind w:right="0" w:left="1069"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b/>
          <w:color w:val="auto"/>
          <w:spacing w:val="0"/>
          <w:position w:val="0"/>
          <w:sz w:val="28"/>
          <w:shd w:fill="auto" w:val="clear"/>
        </w:rPr>
        <w:t xml:space="preserve">Фінансове забезпечення виконання Програми</w:t>
      </w: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Фінансове забезпечення виконання Програми здійснюється за рахунок:</w:t>
      </w:r>
    </w:p>
    <w:p>
      <w:pPr>
        <w:numPr>
          <w:ilvl w:val="0"/>
          <w:numId w:val="37"/>
        </w:numPr>
        <w:spacing w:before="0" w:after="0" w:line="240"/>
        <w:ind w:right="0" w:left="284"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коштів міського бюджету м. Кременчука;</w:t>
      </w:r>
    </w:p>
    <w:p>
      <w:pPr>
        <w:numPr>
          <w:ilvl w:val="0"/>
          <w:numId w:val="37"/>
        </w:numPr>
        <w:spacing w:before="0" w:after="0" w:line="240"/>
        <w:ind w:right="0" w:left="284"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медичної субвенції з державного бюджету;</w:t>
      </w:r>
    </w:p>
    <w:p>
      <w:pPr>
        <w:numPr>
          <w:ilvl w:val="0"/>
          <w:numId w:val="37"/>
        </w:numPr>
        <w:spacing w:before="0" w:after="0" w:line="240"/>
        <w:ind w:right="0" w:left="284"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інших субвенцій з обласного та державного бюджетів;</w:t>
      </w:r>
    </w:p>
    <w:p>
      <w:pPr>
        <w:numPr>
          <w:ilvl w:val="0"/>
          <w:numId w:val="37"/>
        </w:numPr>
        <w:spacing w:before="0" w:after="0" w:line="240"/>
        <w:ind w:right="0" w:left="284"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залучення додаткових коштів для розвитку якісної медицини міста базуючись на Законі України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 державно-приватне партнерство</w:t>
      </w:r>
      <w:r>
        <w:rPr>
          <w:rFonts w:ascii="Times New Roman" w:hAnsi="Times New Roman" w:cs="Times New Roman" w:eastAsia="Times New Roman"/>
          <w:color w:val="000000"/>
          <w:spacing w:val="0"/>
          <w:position w:val="0"/>
          <w:sz w:val="28"/>
          <w:shd w:fill="auto" w:val="clear"/>
        </w:rPr>
        <w:t xml:space="preserve">»; </w:t>
      </w:r>
    </w:p>
    <w:p>
      <w:pPr>
        <w:numPr>
          <w:ilvl w:val="0"/>
          <w:numId w:val="37"/>
        </w:numPr>
        <w:spacing w:before="0" w:after="0" w:line="240"/>
        <w:ind w:right="0" w:left="284"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інших джерел, не заборонених законодавством України.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Кошти, отримані за результатами діяльності, використовуються Підприємством на виконання запланованих заходів Програми.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 погодженого з управлінням охорони здоров’я виконавчого комітету Кременчуцької міської ради Полтавської області.</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Звіт про виконання плану використання бюджетних коштів надається керівником комунального некомерційного медичного підприємства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Центр первинної медико-санітарної допомоги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м. Кременчука до управління охорони здоров’я виконавчого комітету Кременчуцької міської ради Полтавської області щорічно.</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Виконання Програми у повному обсязі можливе лише за умови стабільного фінансування її складових.</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Начальник управління охорони</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здоров’я виконавчого комітету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Кременчуцької міської ради</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Полтавської області </w:t>
        <w:tab/>
        <w:t xml:space="preserve"> </w:t>
        <w:tab/>
        <w:tab/>
        <w:tab/>
        <w:tab/>
        <w:tab/>
        <w:t xml:space="preserve"> </w:t>
        <w:tab/>
        <w:t xml:space="preserve">Д.О.ПЕТРАЩУК</w:t>
      </w:r>
    </w:p>
    <w:p>
      <w:pPr>
        <w:spacing w:before="0" w:after="0" w:line="240"/>
        <w:ind w:right="0" w:left="1062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Додаток </w:t>
      </w:r>
    </w:p>
    <w:p>
      <w:pPr>
        <w:spacing w:before="0" w:after="0" w:line="240"/>
        <w:ind w:right="0" w:left="10620" w:firstLine="70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 комплексної програми розвитку</w:t>
      </w:r>
    </w:p>
    <w:p>
      <w:pPr>
        <w:spacing w:before="0" w:after="0" w:line="240"/>
        <w:ind w:right="0" w:left="10620" w:firstLine="70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комунального некомерційного медичного </w:t>
      </w:r>
    </w:p>
    <w:p>
      <w:pPr>
        <w:spacing w:before="0" w:after="0" w:line="240"/>
        <w:ind w:right="0" w:left="10620" w:firstLine="70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підприємства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Центр первинної медико-</w:t>
      </w:r>
    </w:p>
    <w:p>
      <w:pPr>
        <w:spacing w:before="0" w:after="0" w:line="240"/>
        <w:ind w:right="0" w:left="10620" w:firstLine="70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санітарної допомоги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м. Кременчука </w:t>
      </w:r>
    </w:p>
    <w:p>
      <w:pPr>
        <w:spacing w:before="0" w:after="0" w:line="240"/>
        <w:ind w:right="0" w:left="10620" w:firstLine="70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2017 - 2019 роки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 заходів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комплексної  програми розвитку комунального некомерційного медичного підприємства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Центр первинної медико-санітарної допомоги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м. Кременчука на 2017-2019 роки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tbl>
      <w:tblPr>
        <w:tblInd w:w="560" w:type="dxa"/>
      </w:tblPr>
      <w:tblGrid>
        <w:gridCol w:w="528"/>
        <w:gridCol w:w="2520"/>
        <w:gridCol w:w="5600"/>
        <w:gridCol w:w="980"/>
        <w:gridCol w:w="1820"/>
        <w:gridCol w:w="1061"/>
        <w:gridCol w:w="980"/>
        <w:gridCol w:w="1120"/>
        <w:gridCol w:w="1120"/>
      </w:tblGrid>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з/п</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Назва напряму діяльності (пріоритетні завдання)</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Перелік заходів програми</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Строк вико-нання заходу</w:t>
            </w:r>
          </w:p>
        </w:tc>
        <w:tc>
          <w:tcPr>
            <w:tcW w:w="18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Джерела фінансування</w:t>
            </w:r>
          </w:p>
        </w:tc>
        <w:tc>
          <w:tcPr>
            <w:tcW w:w="428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Орієнтовні обсяги фінансування (вартість), тис. грн., у тому числі:</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Всього</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2017</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рік</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2018</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рік</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2019</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рік</w:t>
            </w:r>
          </w:p>
        </w:tc>
      </w:tr>
      <w:tr>
        <w:trPr>
          <w:trHeight w:val="240" w:hRule="auto"/>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Надання орендних послуг</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здача приміщень в оренду.</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315" w:hRule="auto"/>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69,7</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34,0</w:t>
            </w:r>
          </w:p>
        </w:tc>
      </w:tr>
      <w:tr>
        <w:trPr>
          <w:trHeight w:val="315" w:hRule="auto"/>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Сторення комунального некомерційного медичного підприємства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Центр первинної медико-санітарної допомоги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м.Кременчука </w:t>
            </w:r>
          </w:p>
          <w:p>
            <w:pPr>
              <w:spacing w:before="0" w:after="0" w:line="276"/>
              <w:ind w:right="0" w:left="0" w:firstLine="0"/>
              <w:jc w:val="left"/>
              <w:rPr>
                <w:color w:val="auto"/>
                <w:spacing w:val="0"/>
                <w:position w:val="0"/>
                <w:shd w:fill="auto" w:val="clear"/>
              </w:rPr>
            </w:pP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організаційно-правові заходи щодо державної реєстрації підприємства;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виготовлення правоустановчих документів;</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виготовлення печаток та штампів;</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переоформлення ліцензії, дозволів, акредитації та ін.;</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розміщення інформації у відповідних виданнях;</w:t>
            </w:r>
          </w:p>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інше</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2017 </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2479" w:hRule="auto"/>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95" w:hRule="auto"/>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Оплата праці</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згідно штатного розпису, доплати і надбавки обов’язкового та стимулюючого характеру, індексація заробітної плати, премія, інші види оплати праці.</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13 329,1</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429,1</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6 100,0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6 800,0</w:t>
            </w:r>
          </w:p>
        </w:tc>
      </w:tr>
      <w:tr>
        <w:trPr>
          <w:trHeight w:val="360" w:hRule="auto"/>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Нарахування на оплату праці</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сплата єдиного соціального внеску на загальнообов’язкове державне соціальне страхування.</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2 932,4</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94,4</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1 342,0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1 496,0</w:t>
            </w:r>
          </w:p>
        </w:tc>
      </w:tr>
      <w:tr>
        <w:trPr>
          <w:trHeight w:val="537" w:hRule="auto"/>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713" w:hRule="auto"/>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Придбання предметів, матеріалів, обладнання та інвентарю:</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господарчих, будівельних, електротоварів, меблів та інших малоцінних предметів;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паливно-мастильних матеріалів, запчастин до транспортних засобів;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канцелярського та письмового приладдя, бланків, паперу та інше;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передплата періодичних, довідкових та інформаційних видань;</w:t>
            </w:r>
          </w:p>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інших товарів.</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p>
            <w:pPr>
              <w:spacing w:before="0" w:after="0" w:line="276"/>
              <w:ind w:right="0" w:left="0" w:firstLine="0"/>
              <w:jc w:val="center"/>
              <w:rPr>
                <w:color w:val="auto"/>
                <w:spacing w:val="0"/>
                <w:position w:val="0"/>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633,4</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18,4</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305,0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310,0</w:t>
            </w:r>
          </w:p>
        </w:tc>
      </w:tr>
      <w:tr>
        <w:trPr>
          <w:trHeight w:val="646" w:hRule="auto"/>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22,7</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Придбання медикаментів та перев’язувальних матеріалів</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лікарських засобів та виробів медичного призначення;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наркотичних препаратів;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вакцини проти грипу;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дезінфікуючих засобів та антисептиків;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засобів реабілітації для інвалідів;</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інше.</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593,7</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38,7</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285,0</w:t>
            </w:r>
          </w:p>
        </w:tc>
      </w:tr>
      <w:tr>
        <w:trPr>
          <w:trHeight w:val="1416" w:hRule="auto"/>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Оплата послуг (крім комунальних)</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послуги сторонніх фахівців (юридичних осіб, суб’єктів господарювання);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послуги за оренду приміщень;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 поточного ремонту та технічного обслуговування транспортних засобів, обладнання, приміщень;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послуги з перезарядки вогнегасників, картриджів, ремонт оргтехніки;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послуги з вивезення відходів, їх утилізації та знешкодження;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послуги фіксованого електронного зв’язку, інтернет-провайдерів за користування мережею Інтернет;</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інші послуги.</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468,4</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240,0</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41,0</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21,0</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Видатки на відрядження</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відрядження лікарів-інтернів на очну частину навчання;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відрядження працівників до літніх оздоровчих таборів;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виробничі відрядження та на курси підвищення кваліфікації;</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інше.</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31,0</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Оплата комунальних послуг та енергоносіїв</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оплата теплопостачання;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оплата водопостачання і водовідведення;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оплата електроенергії;</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та інше.</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600,0</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277,0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283,0</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Окремі заходи по реалізації державних (регіональних) програм, не віднесені до заходів розвитку</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оплата послуг з навчання кадрів.</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17,0</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Інші виплати населенню</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відшкодування витрат, пов’язаних з відпуском лікарських засобів пільговим категоріям громадян, які мають на це право відповідно до законодавства, по міській програмі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Доступна аптека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відшкодування витрат, пов’язаних з відпуском лікарських засобів для лікування окремих захворювань по урядовій програмі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Доступні ліки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відшкодування витрат, пов’язаних з відпуском лікарських засобів безоплатно та на пільгових умовах громадянам, які мають на це право відповідно до законодавства;</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інше.</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3 605,4</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135,4</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1 720,0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1 750,0</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Інші поточні видатки</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сплата штрафів, податків, зборів, пені тощо.</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r>
      <w:tr>
        <w:trPr>
          <w:trHeight w:val="1" w:hRule="atLeast"/>
          <w:jc w:val="left"/>
        </w:trPr>
        <w:tc>
          <w:tcPr>
            <w:tcW w:w="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2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Капітальні видатки</w:t>
            </w:r>
          </w:p>
        </w:tc>
        <w:tc>
          <w:tcPr>
            <w:tcW w:w="56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придбання обладнання і предметів довгострокового користування, у тому числі придбання автотранспорту для надання медичної допомоги на дому;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Капітальний ремонт амбулаторії ЗПСМ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розташованої за адресою: вул. Мічуріна, 85, кв.16;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Капітальний ремонт амбулаторії ЗПСМ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розташованої за адресою: вул. Велика Набережна,1;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Капітальний ремонт першого поверху будівлі, розташованої за адресою: вул. Івана Мазепи, 26;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Капітальний ремонт з проведенням заміни труб та утепленням зовнішніх стін будівлі КНМП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ЦПМСД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м. Кременчука, розташованої за адресою: вул. Івана Мазепи, 26;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Капітальний ремонт амбулаторії ЗПСМ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за адресою: м. Кременчук, вул.Кооперативна, 19;</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Капітальний ремонт покрівлі з утеплювальними роботами будівлі КНМП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ЦПМСД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м.Кременчука, розташованої за адресою: вул. Івана Мазепи, 26.</w:t>
            </w:r>
          </w:p>
        </w:tc>
        <w:tc>
          <w:tcPr>
            <w:tcW w:w="9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2017 - 2019 </w:t>
            </w:r>
            <w:r>
              <w:rPr>
                <w:rFonts w:ascii="Times New Roman" w:hAnsi="Times New Roman" w:cs="Times New Roman" w:eastAsia="Times New Roman"/>
                <w:color w:val="auto"/>
                <w:spacing w:val="0"/>
                <w:position w:val="0"/>
                <w:sz w:val="24"/>
                <w:shd w:fill="auto" w:val="clear"/>
              </w:rPr>
              <w:t xml:space="preserve">р.р.</w:t>
            </w: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Бюджетні кошти</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9 850,0</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1 450,0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4 200,0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4 200,0</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Власні кошти підприємства</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Всього, у тому числі:</w:t>
            </w:r>
          </w:p>
        </w:tc>
        <w:tc>
          <w:tcPr>
            <w:tcW w:w="56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32 160,1</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2 235,1</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14 503,0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15 422,0</w:t>
            </w:r>
          </w:p>
        </w:tc>
      </w:tr>
      <w:tr>
        <w:trPr>
          <w:trHeight w:val="1" w:hRule="atLeast"/>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Бюджетні кошти</w:t>
            </w:r>
          </w:p>
        </w:tc>
        <w:tc>
          <w:tcPr>
            <w:tcW w:w="56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32 090,4</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2 232,4</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14 470,0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15 388,0</w:t>
            </w:r>
          </w:p>
        </w:tc>
      </w:tr>
      <w:tr>
        <w:trPr>
          <w:trHeight w:val="1" w:hRule="atLeast"/>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Власні кошти підприємства</w:t>
            </w:r>
          </w:p>
        </w:tc>
        <w:tc>
          <w:tcPr>
            <w:tcW w:w="56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69,7</w:t>
            </w:r>
          </w:p>
        </w:tc>
        <w:tc>
          <w:tcPr>
            <w:tcW w:w="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2,7</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33,0</w:t>
            </w:r>
          </w:p>
        </w:tc>
        <w:tc>
          <w:tcPr>
            <w:tcW w:w="11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34,0</w:t>
            </w:r>
          </w:p>
        </w:tc>
      </w:tr>
    </w:tbl>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Начальник управління охорони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здоров'я виконавчого комітету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Кременчуцької міської ради</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Полтавської області </w:t>
        <w:tab/>
        <w:tab/>
        <w:tab/>
        <w:tab/>
        <w:tab/>
        <w:tab/>
        <w:tab/>
        <w:tab/>
        <w:tab/>
        <w:tab/>
        <w:tab/>
        <w:tab/>
        <w:tab/>
        <w:tab/>
        <w:t xml:space="preserve">Д.О. ПЕТРАЩУК</w:t>
      </w:r>
    </w:p>
    <w:p>
      <w:pPr>
        <w:spacing w:before="0" w:after="0" w:line="240"/>
        <w:ind w:right="0" w:left="10620" w:firstLine="708"/>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6">
    <w:abstractNumId w:val="24"/>
  </w:num>
  <w:num w:numId="22">
    <w:abstractNumId w:val="18"/>
  </w:num>
  <w:num w:numId="27">
    <w:abstractNumId w:val="12"/>
  </w:num>
  <w:num w:numId="32">
    <w:abstractNumId w:val="6"/>
  </w:num>
  <w:num w:numId="3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