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3B" w:rsidRDefault="0018163B" w:rsidP="0018163B">
      <w:pPr>
        <w:pStyle w:val="a3"/>
        <w:rPr>
          <w:szCs w:val="28"/>
        </w:rPr>
      </w:pPr>
      <w:r>
        <w:rPr>
          <w:szCs w:val="28"/>
        </w:rPr>
        <w:t xml:space="preserve">                                            </w:t>
      </w:r>
      <w:r w:rsidR="00D61483">
        <w:rPr>
          <w:szCs w:val="28"/>
        </w:rPr>
        <w:t xml:space="preserve">              Додаток </w:t>
      </w:r>
      <w:r>
        <w:rPr>
          <w:szCs w:val="28"/>
        </w:rPr>
        <w:t xml:space="preserve"> 1</w:t>
      </w:r>
    </w:p>
    <w:p w:rsidR="0018163B" w:rsidRDefault="0018163B" w:rsidP="0018163B">
      <w:pPr>
        <w:pStyle w:val="a3"/>
        <w:tabs>
          <w:tab w:val="left" w:pos="7200"/>
        </w:tabs>
        <w:jc w:val="left"/>
        <w:rPr>
          <w:szCs w:val="28"/>
        </w:rPr>
      </w:pPr>
      <w:r>
        <w:rPr>
          <w:szCs w:val="28"/>
        </w:rPr>
        <w:t xml:space="preserve">                                                                                        до рішення міської ради</w:t>
      </w:r>
    </w:p>
    <w:p w:rsidR="0018163B" w:rsidRDefault="0018163B" w:rsidP="0018163B">
      <w:pPr>
        <w:pStyle w:val="a3"/>
        <w:tabs>
          <w:tab w:val="left" w:pos="6510"/>
        </w:tabs>
        <w:jc w:val="left"/>
        <w:rPr>
          <w:szCs w:val="28"/>
        </w:rPr>
      </w:pPr>
      <w:r>
        <w:rPr>
          <w:szCs w:val="28"/>
        </w:rPr>
        <w:t xml:space="preserve">                                                                                        від </w:t>
      </w:r>
      <w:r w:rsidR="00D61483">
        <w:rPr>
          <w:szCs w:val="28"/>
        </w:rPr>
        <w:t>31 серпня 2017 року</w:t>
      </w:r>
      <w:r>
        <w:rPr>
          <w:szCs w:val="28"/>
        </w:rPr>
        <w:t xml:space="preserve">  </w:t>
      </w:r>
    </w:p>
    <w:p w:rsidR="0018163B" w:rsidRDefault="0018163B" w:rsidP="0018163B">
      <w:pPr>
        <w:jc w:val="center"/>
        <w:rPr>
          <w:b/>
          <w:sz w:val="28"/>
          <w:szCs w:val="28"/>
        </w:rPr>
      </w:pPr>
    </w:p>
    <w:p w:rsidR="0018163B" w:rsidRDefault="0018163B" w:rsidP="0018163B">
      <w:pPr>
        <w:jc w:val="center"/>
        <w:rPr>
          <w:b/>
          <w:sz w:val="28"/>
          <w:szCs w:val="28"/>
        </w:rPr>
      </w:pPr>
      <w:r>
        <w:rPr>
          <w:b/>
          <w:sz w:val="28"/>
          <w:szCs w:val="28"/>
        </w:rPr>
        <w:t>ПОЯСНЮВАЛЬНА ЗАПИСКА</w:t>
      </w:r>
    </w:p>
    <w:p w:rsidR="0018163B" w:rsidRDefault="0018163B" w:rsidP="0018163B">
      <w:pPr>
        <w:jc w:val="center"/>
        <w:rPr>
          <w:b/>
          <w:sz w:val="28"/>
          <w:szCs w:val="28"/>
        </w:rPr>
      </w:pPr>
      <w:r>
        <w:rPr>
          <w:b/>
          <w:sz w:val="28"/>
          <w:szCs w:val="28"/>
        </w:rPr>
        <w:t xml:space="preserve">про виконання міського  бюджету м. Кременчука  </w:t>
      </w:r>
    </w:p>
    <w:p w:rsidR="0018163B" w:rsidRDefault="0018163B" w:rsidP="0018163B">
      <w:pPr>
        <w:jc w:val="center"/>
        <w:rPr>
          <w:b/>
          <w:sz w:val="28"/>
          <w:szCs w:val="28"/>
        </w:rPr>
      </w:pPr>
      <w:r>
        <w:rPr>
          <w:b/>
          <w:sz w:val="28"/>
          <w:szCs w:val="28"/>
        </w:rPr>
        <w:t>за І півріччя   2017</w:t>
      </w:r>
      <w:r>
        <w:rPr>
          <w:b/>
          <w:sz w:val="28"/>
          <w:szCs w:val="28"/>
          <w:lang w:val="ru-RU"/>
        </w:rPr>
        <w:t xml:space="preserve"> </w:t>
      </w:r>
      <w:r>
        <w:rPr>
          <w:b/>
          <w:sz w:val="28"/>
          <w:szCs w:val="28"/>
        </w:rPr>
        <w:t xml:space="preserve"> року</w:t>
      </w:r>
    </w:p>
    <w:p w:rsidR="0018163B" w:rsidRDefault="0018163B" w:rsidP="0018163B">
      <w:pPr>
        <w:jc w:val="center"/>
        <w:rPr>
          <w:b/>
          <w:sz w:val="28"/>
          <w:szCs w:val="28"/>
        </w:rPr>
      </w:pPr>
    </w:p>
    <w:p w:rsidR="0018163B" w:rsidRDefault="0018163B" w:rsidP="0018163B">
      <w:pPr>
        <w:ind w:firstLine="709"/>
        <w:rPr>
          <w:b/>
          <w:bCs/>
          <w:sz w:val="28"/>
          <w:szCs w:val="28"/>
        </w:rPr>
      </w:pPr>
      <w:r>
        <w:rPr>
          <w:b/>
          <w:sz w:val="28"/>
          <w:szCs w:val="28"/>
        </w:rPr>
        <w:t xml:space="preserve">             </w:t>
      </w:r>
      <w:r w:rsidR="006833B9">
        <w:rPr>
          <w:b/>
          <w:sz w:val="28"/>
          <w:szCs w:val="28"/>
        </w:rPr>
        <w:t xml:space="preserve">                              ДОХО</w:t>
      </w:r>
      <w:r>
        <w:rPr>
          <w:b/>
          <w:sz w:val="28"/>
          <w:szCs w:val="28"/>
        </w:rPr>
        <w:t>ДИ</w:t>
      </w:r>
    </w:p>
    <w:p w:rsidR="0018163B" w:rsidRDefault="0018163B" w:rsidP="0018163B">
      <w:pPr>
        <w:rPr>
          <w:b/>
          <w:bCs/>
          <w:sz w:val="28"/>
          <w:szCs w:val="28"/>
        </w:rPr>
      </w:pPr>
      <w:r>
        <w:rPr>
          <w:b/>
          <w:bCs/>
          <w:sz w:val="28"/>
          <w:szCs w:val="28"/>
        </w:rPr>
        <w:t xml:space="preserve">                                                 Загальний фонд</w:t>
      </w:r>
    </w:p>
    <w:p w:rsidR="0018163B" w:rsidRDefault="0018163B" w:rsidP="0018163B">
      <w:pPr>
        <w:rPr>
          <w:sz w:val="28"/>
          <w:szCs w:val="28"/>
        </w:rPr>
      </w:pPr>
    </w:p>
    <w:p w:rsidR="0018163B" w:rsidRDefault="0018163B" w:rsidP="0018163B">
      <w:pPr>
        <w:ind w:firstLine="709"/>
        <w:jc w:val="both"/>
        <w:rPr>
          <w:sz w:val="28"/>
          <w:szCs w:val="28"/>
        </w:rPr>
      </w:pPr>
      <w:r>
        <w:rPr>
          <w:sz w:val="28"/>
          <w:szCs w:val="28"/>
        </w:rPr>
        <w:t xml:space="preserve">Відповідно до звіту, поданого Управлінням Державної казначейської служби  України у м. </w:t>
      </w:r>
      <w:proofErr w:type="spellStart"/>
      <w:r>
        <w:rPr>
          <w:sz w:val="28"/>
          <w:szCs w:val="28"/>
        </w:rPr>
        <w:t>Кременчуці</w:t>
      </w:r>
      <w:proofErr w:type="spellEnd"/>
      <w:r>
        <w:rPr>
          <w:sz w:val="28"/>
          <w:szCs w:val="28"/>
        </w:rPr>
        <w:t xml:space="preserve"> Полтавської області, станом на 01.07.2017  до  міського бюджету міста  Кременчука  при затвердженому уточненому  річному  плані   1 929 011,575 тис.</w:t>
      </w:r>
      <w:r w:rsidR="00D61483">
        <w:rPr>
          <w:sz w:val="28"/>
          <w:szCs w:val="28"/>
        </w:rPr>
        <w:t xml:space="preserve"> </w:t>
      </w:r>
      <w:r>
        <w:rPr>
          <w:sz w:val="28"/>
          <w:szCs w:val="28"/>
        </w:rPr>
        <w:t>грн. надійшло доходів всього 1 089 443,884  тис.</w:t>
      </w:r>
      <w:r w:rsidR="00D61483">
        <w:rPr>
          <w:sz w:val="28"/>
          <w:szCs w:val="28"/>
        </w:rPr>
        <w:t xml:space="preserve"> </w:t>
      </w:r>
      <w:r>
        <w:rPr>
          <w:sz w:val="28"/>
          <w:szCs w:val="28"/>
        </w:rPr>
        <w:t>грн. або  56,5 % до річного плану. На звітну дату виконання плану забезпечено на 98,3%  (план 1 108 809,251 тис.</w:t>
      </w:r>
      <w:r w:rsidR="00D61483">
        <w:rPr>
          <w:sz w:val="28"/>
          <w:szCs w:val="28"/>
        </w:rPr>
        <w:t xml:space="preserve"> </w:t>
      </w:r>
      <w:r>
        <w:rPr>
          <w:sz w:val="28"/>
          <w:szCs w:val="28"/>
        </w:rPr>
        <w:t xml:space="preserve">грн.). </w:t>
      </w:r>
    </w:p>
    <w:p w:rsidR="0018163B" w:rsidRDefault="0018163B" w:rsidP="0018163B">
      <w:pPr>
        <w:ind w:firstLine="709"/>
        <w:jc w:val="right"/>
        <w:rPr>
          <w:color w:val="FF0000"/>
          <w:sz w:val="28"/>
          <w:szCs w:val="28"/>
        </w:rPr>
      </w:pPr>
      <w:r>
        <w:rPr>
          <w:color w:val="FF0000"/>
          <w:sz w:val="28"/>
          <w:szCs w:val="28"/>
        </w:rPr>
        <w:t>тис.</w:t>
      </w:r>
      <w:r w:rsidR="00D61483">
        <w:rPr>
          <w:color w:val="FF0000"/>
          <w:sz w:val="28"/>
          <w:szCs w:val="28"/>
        </w:rPr>
        <w:t xml:space="preserve"> </w:t>
      </w:r>
      <w:r>
        <w:rPr>
          <w:color w:val="FF0000"/>
          <w:sz w:val="28"/>
          <w:szCs w:val="28"/>
        </w:rPr>
        <w:t>грн.</w:t>
      </w:r>
    </w:p>
    <w:p w:rsidR="0018163B" w:rsidRDefault="0018163B" w:rsidP="0018163B">
      <w:pPr>
        <w:ind w:firstLine="709"/>
        <w:jc w:val="right"/>
        <w:rPr>
          <w:color w:val="FF0000"/>
          <w:sz w:val="28"/>
          <w:szCs w:val="28"/>
        </w:rPr>
      </w:pPr>
    </w:p>
    <w:p w:rsidR="0018163B" w:rsidRDefault="00765E50" w:rsidP="0018163B">
      <w:pPr>
        <w:pBdr>
          <w:top w:val="single" w:sz="4" w:space="1" w:color="auto"/>
          <w:left w:val="single" w:sz="4" w:space="4" w:color="auto"/>
          <w:bottom w:val="single" w:sz="4" w:space="0" w:color="auto"/>
          <w:right w:val="single" w:sz="4" w:space="4" w:color="auto"/>
        </w:pBdr>
        <w:jc w:val="both"/>
        <w:rPr>
          <w:color w:val="FF0000"/>
          <w:sz w:val="28"/>
          <w:szCs w:val="28"/>
        </w:rPr>
      </w:pPr>
      <w:r w:rsidRPr="00765E50">
        <w:rPr>
          <w:noProof/>
          <w:lang w:val="ru-RU"/>
        </w:rPr>
        <w:drawing>
          <wp:inline distT="0" distB="0" distL="0" distR="0">
            <wp:extent cx="5645785" cy="4401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5785" cy="4401820"/>
                    </a:xfrm>
                    <a:prstGeom prst="rect">
                      <a:avLst/>
                    </a:prstGeom>
                    <a:noFill/>
                    <a:ln>
                      <a:noFill/>
                    </a:ln>
                  </pic:spPr>
                </pic:pic>
              </a:graphicData>
            </a:graphic>
          </wp:inline>
        </w:drawing>
      </w:r>
    </w:p>
    <w:tbl>
      <w:tblPr>
        <w:tblW w:w="0" w:type="auto"/>
        <w:tblLayout w:type="fixed"/>
        <w:tblCellMar>
          <w:left w:w="30" w:type="dxa"/>
          <w:right w:w="30" w:type="dxa"/>
        </w:tblCellMar>
        <w:tblLook w:val="0000" w:firstRow="0" w:lastRow="0" w:firstColumn="0" w:lastColumn="0" w:noHBand="0" w:noVBand="0"/>
      </w:tblPr>
      <w:tblGrid>
        <w:gridCol w:w="9669"/>
      </w:tblGrid>
      <w:tr w:rsidR="00AE228C" w:rsidRPr="00AE228C" w:rsidTr="00AE228C">
        <w:tblPrEx>
          <w:tblCellMar>
            <w:top w:w="0" w:type="dxa"/>
            <w:bottom w:w="0" w:type="dxa"/>
          </w:tblCellMar>
        </w:tblPrEx>
        <w:trPr>
          <w:trHeight w:val="547"/>
        </w:trPr>
        <w:tc>
          <w:tcPr>
            <w:tcW w:w="9669" w:type="dxa"/>
            <w:tcBorders>
              <w:top w:val="nil"/>
              <w:left w:val="nil"/>
              <w:bottom w:val="nil"/>
              <w:right w:val="nil"/>
            </w:tcBorders>
          </w:tcPr>
          <w:p w:rsidR="00AE228C" w:rsidRPr="00AE228C" w:rsidRDefault="0018163B" w:rsidP="00AE228C">
            <w:pPr>
              <w:ind w:firstLine="709"/>
              <w:jc w:val="both"/>
              <w:rPr>
                <w:rFonts w:eastAsiaTheme="minorHAnsi"/>
                <w:sz w:val="28"/>
                <w:szCs w:val="28"/>
              </w:rPr>
            </w:pPr>
            <w:r w:rsidRPr="00AE228C">
              <w:rPr>
                <w:sz w:val="28"/>
                <w:szCs w:val="28"/>
              </w:rPr>
              <w:t>При уточненому  річному   плані   по   загальному фонду   без офіційних   трансфертів  933 190,901  тис.</w:t>
            </w:r>
            <w:r w:rsidR="00D61483" w:rsidRPr="00AE228C">
              <w:rPr>
                <w:sz w:val="28"/>
                <w:szCs w:val="28"/>
              </w:rPr>
              <w:t xml:space="preserve"> </w:t>
            </w:r>
            <w:r w:rsidRPr="00AE228C">
              <w:rPr>
                <w:sz w:val="28"/>
                <w:szCs w:val="28"/>
              </w:rPr>
              <w:t>грн.  фактично надійшло – 503 734,326 тис.</w:t>
            </w:r>
            <w:r w:rsidR="00D61483" w:rsidRPr="00AE228C">
              <w:rPr>
                <w:sz w:val="28"/>
                <w:szCs w:val="28"/>
              </w:rPr>
              <w:t xml:space="preserve"> </w:t>
            </w:r>
            <w:r w:rsidRPr="00AE228C">
              <w:rPr>
                <w:sz w:val="28"/>
                <w:szCs w:val="28"/>
              </w:rPr>
              <w:t>грн.,  виконання до річного плану склало  – 54,0%, виконання на звітну дату – 108,3%  /+/ 38 581,053  тис.</w:t>
            </w:r>
            <w:r w:rsidR="00D61483" w:rsidRPr="00AE228C">
              <w:rPr>
                <w:sz w:val="28"/>
                <w:szCs w:val="28"/>
              </w:rPr>
              <w:t xml:space="preserve"> </w:t>
            </w:r>
            <w:r w:rsidRPr="00AE228C">
              <w:rPr>
                <w:sz w:val="28"/>
                <w:szCs w:val="28"/>
              </w:rPr>
              <w:t xml:space="preserve">грн. (план </w:t>
            </w:r>
            <w:r w:rsidR="00AE228C">
              <w:rPr>
                <w:sz w:val="28"/>
                <w:szCs w:val="28"/>
              </w:rPr>
              <w:t xml:space="preserve">465 153,273 </w:t>
            </w:r>
            <w:r w:rsidRPr="00AE228C">
              <w:rPr>
                <w:sz w:val="28"/>
                <w:szCs w:val="28"/>
              </w:rPr>
              <w:t>тис.</w:t>
            </w:r>
            <w:r w:rsidR="00D61483" w:rsidRPr="00AE228C">
              <w:rPr>
                <w:sz w:val="28"/>
                <w:szCs w:val="28"/>
              </w:rPr>
              <w:t xml:space="preserve"> </w:t>
            </w:r>
            <w:r w:rsidR="00AE228C" w:rsidRPr="00AE228C">
              <w:rPr>
                <w:sz w:val="28"/>
                <w:szCs w:val="28"/>
              </w:rPr>
              <w:t>грн.)</w:t>
            </w:r>
            <w:r w:rsidRPr="00AE228C">
              <w:rPr>
                <w:sz w:val="28"/>
                <w:szCs w:val="28"/>
              </w:rPr>
              <w:t xml:space="preserve"> </w:t>
            </w:r>
            <w:r w:rsidR="00AE228C" w:rsidRPr="00AE228C">
              <w:rPr>
                <w:rFonts w:eastAsiaTheme="minorHAnsi"/>
                <w:sz w:val="28"/>
                <w:szCs w:val="28"/>
              </w:rPr>
              <w:t>(додаток 1 до Пояснювальної записки про виконання міського бюджету за І півріччя 2017 року).</w:t>
            </w:r>
          </w:p>
        </w:tc>
      </w:tr>
    </w:tbl>
    <w:p w:rsidR="0018163B" w:rsidRPr="00AE228C" w:rsidRDefault="0018163B" w:rsidP="00AE228C">
      <w:pPr>
        <w:ind w:firstLine="709"/>
        <w:jc w:val="both"/>
        <w:rPr>
          <w:sz w:val="28"/>
          <w:szCs w:val="28"/>
        </w:rPr>
      </w:pPr>
      <w:r w:rsidRPr="00AE228C">
        <w:rPr>
          <w:sz w:val="28"/>
          <w:szCs w:val="28"/>
        </w:rPr>
        <w:lastRenderedPageBreak/>
        <w:t>По офіційних трансфертах при річному плані 995 820,674  тис.</w:t>
      </w:r>
      <w:r w:rsidR="00D61483" w:rsidRPr="00AE228C">
        <w:rPr>
          <w:sz w:val="28"/>
          <w:szCs w:val="28"/>
        </w:rPr>
        <w:t xml:space="preserve"> </w:t>
      </w:r>
      <w:r w:rsidRPr="00AE228C">
        <w:rPr>
          <w:sz w:val="28"/>
          <w:szCs w:val="28"/>
        </w:rPr>
        <w:t>грн. фактично надійшло 585 709,559 тис.</w:t>
      </w:r>
      <w:r w:rsidR="00D61483" w:rsidRPr="00AE228C">
        <w:rPr>
          <w:sz w:val="28"/>
          <w:szCs w:val="28"/>
        </w:rPr>
        <w:t xml:space="preserve"> </w:t>
      </w:r>
      <w:r w:rsidRPr="00AE228C">
        <w:rPr>
          <w:sz w:val="28"/>
          <w:szCs w:val="28"/>
        </w:rPr>
        <w:t>грн. або 58,8%, виконання на звітну дату забезпечено на 91,0% /-/ 57 946,419 тис.</w:t>
      </w:r>
      <w:r w:rsidR="00D61483" w:rsidRPr="00AE228C">
        <w:rPr>
          <w:sz w:val="28"/>
          <w:szCs w:val="28"/>
        </w:rPr>
        <w:t xml:space="preserve"> </w:t>
      </w:r>
      <w:r w:rsidRPr="00AE228C">
        <w:rPr>
          <w:sz w:val="28"/>
          <w:szCs w:val="28"/>
        </w:rPr>
        <w:t>грн. (план  643 655,978 тис.</w:t>
      </w:r>
      <w:r w:rsidR="00D61483" w:rsidRPr="00AE228C">
        <w:rPr>
          <w:sz w:val="28"/>
          <w:szCs w:val="28"/>
        </w:rPr>
        <w:t xml:space="preserve"> </w:t>
      </w:r>
      <w:r w:rsidRPr="00AE228C">
        <w:rPr>
          <w:sz w:val="28"/>
          <w:szCs w:val="28"/>
        </w:rPr>
        <w:t>грн.).</w:t>
      </w:r>
    </w:p>
    <w:p w:rsidR="0018163B" w:rsidRDefault="0018163B" w:rsidP="00AE228C">
      <w:pPr>
        <w:ind w:firstLine="709"/>
        <w:jc w:val="both"/>
        <w:rPr>
          <w:color w:val="FF0000"/>
          <w:sz w:val="28"/>
          <w:szCs w:val="28"/>
        </w:rPr>
      </w:pPr>
    </w:p>
    <w:p w:rsidR="0018163B" w:rsidRDefault="0018163B" w:rsidP="0018163B">
      <w:pPr>
        <w:tabs>
          <w:tab w:val="left" w:pos="2895"/>
          <w:tab w:val="left" w:pos="5655"/>
          <w:tab w:val="left" w:pos="8460"/>
        </w:tabs>
        <w:ind w:firstLine="709"/>
        <w:jc w:val="both"/>
        <w:rPr>
          <w:sz w:val="28"/>
          <w:szCs w:val="28"/>
        </w:rPr>
      </w:pPr>
      <w:r>
        <w:rPr>
          <w:sz w:val="28"/>
          <w:szCs w:val="28"/>
        </w:rPr>
        <w:t>Станом на 01.07.2017 фактично вилучено  коштів до державного бюджету (реверсна дотація) 20 829,700  тис.</w:t>
      </w:r>
      <w:r w:rsidR="00D61483">
        <w:rPr>
          <w:sz w:val="28"/>
          <w:szCs w:val="28"/>
        </w:rPr>
        <w:t xml:space="preserve"> </w:t>
      </w:r>
      <w:r>
        <w:rPr>
          <w:sz w:val="28"/>
          <w:szCs w:val="28"/>
        </w:rPr>
        <w:t>грн.  при  такому ж плані.</w:t>
      </w:r>
    </w:p>
    <w:p w:rsidR="0018163B" w:rsidRDefault="0018163B" w:rsidP="0018163B">
      <w:pPr>
        <w:tabs>
          <w:tab w:val="left" w:pos="2895"/>
          <w:tab w:val="left" w:pos="5655"/>
          <w:tab w:val="left" w:pos="8460"/>
        </w:tabs>
        <w:ind w:firstLine="709"/>
        <w:jc w:val="both"/>
        <w:rPr>
          <w:sz w:val="28"/>
          <w:szCs w:val="28"/>
        </w:rPr>
      </w:pPr>
    </w:p>
    <w:p w:rsidR="0018163B" w:rsidRDefault="0018163B" w:rsidP="0018163B">
      <w:pPr>
        <w:ind w:firstLine="708"/>
        <w:jc w:val="both"/>
        <w:rPr>
          <w:sz w:val="28"/>
          <w:szCs w:val="28"/>
        </w:rPr>
      </w:pPr>
      <w:r>
        <w:rPr>
          <w:sz w:val="28"/>
          <w:szCs w:val="28"/>
        </w:rPr>
        <w:t>Виконання запланованих показників в розрізі податкових та неподаткових надходжень:</w:t>
      </w:r>
    </w:p>
    <w:p w:rsidR="0018163B" w:rsidRDefault="0018163B" w:rsidP="0018163B">
      <w:pPr>
        <w:ind w:left="1416" w:firstLine="708"/>
        <w:rPr>
          <w:sz w:val="28"/>
          <w:szCs w:val="28"/>
        </w:rPr>
      </w:pPr>
      <w:r>
        <w:rPr>
          <w:sz w:val="28"/>
          <w:szCs w:val="28"/>
        </w:rPr>
        <w:t xml:space="preserve">                              річний                          звітний період</w:t>
      </w:r>
    </w:p>
    <w:p w:rsidR="0018163B" w:rsidRDefault="0018163B" w:rsidP="0018163B">
      <w:pPr>
        <w:tabs>
          <w:tab w:val="left" w:pos="7230"/>
          <w:tab w:val="left" w:pos="7513"/>
        </w:tabs>
        <w:rPr>
          <w:sz w:val="28"/>
          <w:szCs w:val="28"/>
        </w:rPr>
      </w:pPr>
      <w:r>
        <w:rPr>
          <w:sz w:val="28"/>
          <w:szCs w:val="28"/>
        </w:rPr>
        <w:t>- податкові надходження       -    на   54,4 %                               108,1 %</w:t>
      </w:r>
    </w:p>
    <w:p w:rsidR="0018163B" w:rsidRDefault="0018163B" w:rsidP="0018163B">
      <w:pPr>
        <w:rPr>
          <w:sz w:val="28"/>
          <w:szCs w:val="28"/>
        </w:rPr>
      </w:pPr>
      <w:r>
        <w:rPr>
          <w:sz w:val="28"/>
          <w:szCs w:val="28"/>
        </w:rPr>
        <w:t>- неподаткові надходження   -    на   42,4 %</w:t>
      </w:r>
      <w:r>
        <w:rPr>
          <w:sz w:val="28"/>
          <w:szCs w:val="28"/>
        </w:rPr>
        <w:tab/>
        <w:t xml:space="preserve">                        117,4 %</w:t>
      </w:r>
    </w:p>
    <w:p w:rsidR="0018163B" w:rsidRDefault="0018163B" w:rsidP="0018163B">
      <w:pPr>
        <w:rPr>
          <w:color w:val="FF0000"/>
          <w:sz w:val="28"/>
          <w:szCs w:val="28"/>
        </w:rPr>
      </w:pPr>
    </w:p>
    <w:p w:rsidR="0018163B" w:rsidRDefault="0018163B" w:rsidP="0018163B">
      <w:pPr>
        <w:ind w:firstLine="709"/>
        <w:jc w:val="both"/>
        <w:rPr>
          <w:sz w:val="28"/>
          <w:szCs w:val="28"/>
        </w:rPr>
      </w:pPr>
      <w:r>
        <w:rPr>
          <w:sz w:val="28"/>
          <w:szCs w:val="28"/>
        </w:rPr>
        <w:t>Питома вага фактичних податкових надходжень в доходній частині міського бюджету  склала 97,5% або 491 038,253 тис.</w:t>
      </w:r>
      <w:r w:rsidR="00D61483">
        <w:rPr>
          <w:sz w:val="28"/>
          <w:szCs w:val="28"/>
        </w:rPr>
        <w:t xml:space="preserve"> </w:t>
      </w:r>
      <w:r>
        <w:rPr>
          <w:sz w:val="28"/>
          <w:szCs w:val="28"/>
        </w:rPr>
        <w:t>грн., неподаткових надходжень –  2,5% або 12 696,073 тис.</w:t>
      </w:r>
      <w:r w:rsidR="00D61483">
        <w:rPr>
          <w:sz w:val="28"/>
          <w:szCs w:val="28"/>
        </w:rPr>
        <w:t xml:space="preserve"> </w:t>
      </w:r>
      <w:r>
        <w:rPr>
          <w:sz w:val="28"/>
          <w:szCs w:val="28"/>
        </w:rPr>
        <w:t>грн.</w:t>
      </w:r>
    </w:p>
    <w:p w:rsidR="0018163B" w:rsidRDefault="0018163B" w:rsidP="0018163B">
      <w:pPr>
        <w:tabs>
          <w:tab w:val="left" w:pos="2895"/>
          <w:tab w:val="left" w:pos="5655"/>
          <w:tab w:val="left" w:pos="8460"/>
        </w:tabs>
        <w:ind w:firstLine="709"/>
        <w:jc w:val="both"/>
        <w:rPr>
          <w:color w:val="FF0000"/>
          <w:sz w:val="28"/>
          <w:szCs w:val="28"/>
        </w:rPr>
      </w:pPr>
    </w:p>
    <w:p w:rsidR="0018163B" w:rsidRDefault="0018163B" w:rsidP="00D61483">
      <w:pPr>
        <w:tabs>
          <w:tab w:val="left" w:pos="709"/>
          <w:tab w:val="left" w:pos="2895"/>
          <w:tab w:val="left" w:pos="5655"/>
          <w:tab w:val="left" w:pos="8460"/>
        </w:tabs>
        <w:ind w:firstLine="709"/>
        <w:jc w:val="both"/>
        <w:rPr>
          <w:sz w:val="28"/>
          <w:szCs w:val="28"/>
        </w:rPr>
      </w:pPr>
      <w:r>
        <w:rPr>
          <w:sz w:val="28"/>
          <w:szCs w:val="28"/>
        </w:rPr>
        <w:t xml:space="preserve">Основними джерелами надходжень, що формують доходну частину  загального фонду міського бюджету, є чотири податки, які  складають </w:t>
      </w:r>
      <w:r>
        <w:rPr>
          <w:sz w:val="28"/>
          <w:szCs w:val="28"/>
          <w:lang w:val="ru-RU"/>
        </w:rPr>
        <w:t>96,7</w:t>
      </w:r>
      <w:r>
        <w:rPr>
          <w:sz w:val="28"/>
          <w:szCs w:val="28"/>
        </w:rPr>
        <w:t>% в доходній частині загального фонду (</w:t>
      </w:r>
      <w:r>
        <w:rPr>
          <w:sz w:val="28"/>
          <w:szCs w:val="28"/>
          <w:lang w:val="ru-RU"/>
        </w:rPr>
        <w:t>503 734,326</w:t>
      </w:r>
      <w:r>
        <w:rPr>
          <w:sz w:val="28"/>
          <w:szCs w:val="28"/>
        </w:rPr>
        <w:t xml:space="preserve"> </w:t>
      </w:r>
      <w:proofErr w:type="spellStart"/>
      <w:r>
        <w:rPr>
          <w:sz w:val="28"/>
          <w:szCs w:val="28"/>
        </w:rPr>
        <w:t>тис.грн</w:t>
      </w:r>
      <w:proofErr w:type="spellEnd"/>
      <w:r>
        <w:rPr>
          <w:sz w:val="28"/>
          <w:szCs w:val="28"/>
        </w:rPr>
        <w:t>.):</w:t>
      </w:r>
    </w:p>
    <w:p w:rsidR="00D61483" w:rsidRDefault="00D61483" w:rsidP="00D61483">
      <w:pPr>
        <w:tabs>
          <w:tab w:val="left" w:pos="709"/>
          <w:tab w:val="left" w:pos="2895"/>
          <w:tab w:val="left" w:pos="5655"/>
          <w:tab w:val="left" w:pos="8460"/>
        </w:tabs>
        <w:ind w:firstLine="709"/>
        <w:jc w:val="both"/>
        <w:rPr>
          <w:sz w:val="28"/>
          <w:szCs w:val="28"/>
        </w:rPr>
      </w:pPr>
    </w:p>
    <w:tbl>
      <w:tblPr>
        <w:tblStyle w:val="a8"/>
        <w:tblW w:w="0" w:type="auto"/>
        <w:tblLook w:val="04A0" w:firstRow="1" w:lastRow="0" w:firstColumn="1" w:lastColumn="0" w:noHBand="0" w:noVBand="1"/>
      </w:tblPr>
      <w:tblGrid>
        <w:gridCol w:w="3919"/>
        <w:gridCol w:w="3000"/>
        <w:gridCol w:w="2936"/>
      </w:tblGrid>
      <w:tr w:rsidR="00D61483" w:rsidTr="00D61483">
        <w:tc>
          <w:tcPr>
            <w:tcW w:w="3190" w:type="dxa"/>
          </w:tcPr>
          <w:p w:rsidR="00D61483" w:rsidRDefault="00D61483" w:rsidP="00D61483">
            <w:pPr>
              <w:tabs>
                <w:tab w:val="left" w:pos="709"/>
                <w:tab w:val="left" w:pos="2895"/>
                <w:tab w:val="left" w:pos="5655"/>
                <w:tab w:val="left" w:pos="8460"/>
              </w:tabs>
              <w:jc w:val="both"/>
              <w:rPr>
                <w:sz w:val="28"/>
                <w:szCs w:val="28"/>
              </w:rPr>
            </w:pPr>
          </w:p>
        </w:tc>
        <w:tc>
          <w:tcPr>
            <w:tcW w:w="3190" w:type="dxa"/>
          </w:tcPr>
          <w:p w:rsidR="00D61483" w:rsidRDefault="00D61483" w:rsidP="00D61483">
            <w:pPr>
              <w:tabs>
                <w:tab w:val="left" w:pos="709"/>
                <w:tab w:val="left" w:pos="2895"/>
                <w:tab w:val="left" w:pos="5655"/>
                <w:tab w:val="left" w:pos="8460"/>
              </w:tabs>
              <w:jc w:val="center"/>
              <w:rPr>
                <w:sz w:val="28"/>
                <w:szCs w:val="28"/>
              </w:rPr>
            </w:pPr>
            <w:proofErr w:type="spellStart"/>
            <w:r>
              <w:rPr>
                <w:sz w:val="28"/>
                <w:szCs w:val="28"/>
              </w:rPr>
              <w:t>тис.грн</w:t>
            </w:r>
            <w:proofErr w:type="spellEnd"/>
            <w:r>
              <w:rPr>
                <w:sz w:val="28"/>
                <w:szCs w:val="28"/>
              </w:rPr>
              <w:t>.</w:t>
            </w:r>
          </w:p>
        </w:tc>
        <w:tc>
          <w:tcPr>
            <w:tcW w:w="3191" w:type="dxa"/>
          </w:tcPr>
          <w:p w:rsidR="00D61483" w:rsidRDefault="00D61483" w:rsidP="00D61483">
            <w:pPr>
              <w:jc w:val="center"/>
              <w:rPr>
                <w:sz w:val="28"/>
                <w:szCs w:val="28"/>
              </w:rPr>
            </w:pPr>
            <w:r>
              <w:rPr>
                <w:sz w:val="28"/>
                <w:szCs w:val="28"/>
              </w:rPr>
              <w:t>питома вага,</w:t>
            </w:r>
          </w:p>
          <w:p w:rsidR="00D61483" w:rsidRDefault="00D61483" w:rsidP="00D61483">
            <w:pPr>
              <w:jc w:val="center"/>
              <w:rPr>
                <w:sz w:val="28"/>
                <w:szCs w:val="28"/>
              </w:rPr>
            </w:pPr>
            <w:r>
              <w:rPr>
                <w:sz w:val="28"/>
                <w:szCs w:val="28"/>
              </w:rPr>
              <w:t>%</w:t>
            </w:r>
          </w:p>
        </w:tc>
      </w:tr>
      <w:tr w:rsidR="00D61483" w:rsidTr="00D61483">
        <w:tc>
          <w:tcPr>
            <w:tcW w:w="3190" w:type="dxa"/>
            <w:vAlign w:val="center"/>
          </w:tcPr>
          <w:p w:rsidR="00D61483" w:rsidRDefault="00D61483" w:rsidP="00D61483">
            <w:pPr>
              <w:tabs>
                <w:tab w:val="left" w:pos="0"/>
                <w:tab w:val="left" w:pos="5040"/>
                <w:tab w:val="left" w:pos="6840"/>
                <w:tab w:val="left" w:pos="7020"/>
                <w:tab w:val="left" w:pos="8931"/>
                <w:tab w:val="left" w:pos="9214"/>
              </w:tabs>
              <w:rPr>
                <w:sz w:val="28"/>
                <w:szCs w:val="28"/>
              </w:rPr>
            </w:pPr>
            <w:r>
              <w:rPr>
                <w:sz w:val="28"/>
                <w:szCs w:val="28"/>
              </w:rPr>
              <w:t>податок та збір на доходи    фізичних осіб (11010000)</w:t>
            </w:r>
          </w:p>
        </w:tc>
        <w:tc>
          <w:tcPr>
            <w:tcW w:w="3190" w:type="dxa"/>
            <w:vAlign w:val="center"/>
          </w:tcPr>
          <w:p w:rsidR="00D61483" w:rsidRDefault="00D61483" w:rsidP="00D61483">
            <w:pPr>
              <w:tabs>
                <w:tab w:val="left" w:pos="709"/>
                <w:tab w:val="left" w:pos="2895"/>
                <w:tab w:val="left" w:pos="5655"/>
                <w:tab w:val="left" w:pos="8460"/>
              </w:tabs>
              <w:jc w:val="center"/>
              <w:rPr>
                <w:sz w:val="28"/>
                <w:szCs w:val="28"/>
              </w:rPr>
            </w:pPr>
            <w:r>
              <w:rPr>
                <w:sz w:val="28"/>
                <w:szCs w:val="28"/>
                <w:lang w:val="ru-RU"/>
              </w:rPr>
              <w:t>311 909,121</w:t>
            </w:r>
          </w:p>
        </w:tc>
        <w:tc>
          <w:tcPr>
            <w:tcW w:w="3191" w:type="dxa"/>
            <w:vAlign w:val="center"/>
          </w:tcPr>
          <w:p w:rsidR="00D61483" w:rsidRDefault="00D61483" w:rsidP="00D61483">
            <w:pPr>
              <w:tabs>
                <w:tab w:val="left" w:pos="709"/>
                <w:tab w:val="left" w:pos="2895"/>
                <w:tab w:val="left" w:pos="5655"/>
                <w:tab w:val="left" w:pos="8460"/>
              </w:tabs>
              <w:jc w:val="center"/>
              <w:rPr>
                <w:sz w:val="28"/>
                <w:szCs w:val="28"/>
              </w:rPr>
            </w:pPr>
            <w:r>
              <w:rPr>
                <w:sz w:val="28"/>
                <w:szCs w:val="28"/>
              </w:rPr>
              <w:t>61,9</w:t>
            </w:r>
          </w:p>
        </w:tc>
      </w:tr>
      <w:tr w:rsidR="00D61483" w:rsidTr="00D61483">
        <w:tc>
          <w:tcPr>
            <w:tcW w:w="3190" w:type="dxa"/>
            <w:vAlign w:val="center"/>
          </w:tcPr>
          <w:p w:rsidR="00D61483" w:rsidRDefault="00D61483" w:rsidP="00D61483">
            <w:pPr>
              <w:tabs>
                <w:tab w:val="left" w:pos="709"/>
                <w:tab w:val="left" w:pos="2895"/>
                <w:tab w:val="left" w:pos="5655"/>
                <w:tab w:val="left" w:pos="8460"/>
              </w:tabs>
              <w:rPr>
                <w:sz w:val="28"/>
                <w:szCs w:val="28"/>
              </w:rPr>
            </w:pPr>
            <w:r>
              <w:rPr>
                <w:sz w:val="28"/>
                <w:szCs w:val="28"/>
              </w:rPr>
              <w:t>податок на майно в частині                                                 земельного податку (18010500-18010900)</w:t>
            </w:r>
          </w:p>
        </w:tc>
        <w:tc>
          <w:tcPr>
            <w:tcW w:w="3190" w:type="dxa"/>
            <w:vAlign w:val="center"/>
          </w:tcPr>
          <w:p w:rsidR="00D61483" w:rsidRDefault="00D61483" w:rsidP="00D61483">
            <w:pPr>
              <w:tabs>
                <w:tab w:val="left" w:pos="709"/>
                <w:tab w:val="left" w:pos="2895"/>
                <w:tab w:val="left" w:pos="5655"/>
                <w:tab w:val="left" w:pos="8460"/>
              </w:tabs>
              <w:jc w:val="center"/>
              <w:rPr>
                <w:sz w:val="28"/>
                <w:szCs w:val="28"/>
              </w:rPr>
            </w:pPr>
            <w:r>
              <w:rPr>
                <w:sz w:val="28"/>
                <w:szCs w:val="28"/>
                <w:lang w:val="ru-RU"/>
              </w:rPr>
              <w:t>80 571,148</w:t>
            </w:r>
          </w:p>
        </w:tc>
        <w:tc>
          <w:tcPr>
            <w:tcW w:w="3191" w:type="dxa"/>
            <w:vAlign w:val="center"/>
          </w:tcPr>
          <w:p w:rsidR="00D61483" w:rsidRDefault="00D61483" w:rsidP="00D61483">
            <w:pPr>
              <w:tabs>
                <w:tab w:val="left" w:pos="0"/>
                <w:tab w:val="left" w:pos="7230"/>
                <w:tab w:val="left" w:pos="8800"/>
              </w:tabs>
              <w:jc w:val="center"/>
              <w:rPr>
                <w:sz w:val="28"/>
                <w:szCs w:val="28"/>
              </w:rPr>
            </w:pPr>
            <w:r>
              <w:rPr>
                <w:sz w:val="28"/>
                <w:szCs w:val="28"/>
              </w:rPr>
              <w:t>16,0</w:t>
            </w:r>
          </w:p>
          <w:p w:rsidR="00D61483" w:rsidRDefault="00D61483" w:rsidP="00D61483">
            <w:pPr>
              <w:tabs>
                <w:tab w:val="left" w:pos="709"/>
                <w:tab w:val="left" w:pos="2895"/>
                <w:tab w:val="left" w:pos="5655"/>
                <w:tab w:val="left" w:pos="8460"/>
              </w:tabs>
              <w:jc w:val="center"/>
              <w:rPr>
                <w:sz w:val="28"/>
                <w:szCs w:val="28"/>
              </w:rPr>
            </w:pPr>
          </w:p>
        </w:tc>
      </w:tr>
      <w:tr w:rsidR="00D61483" w:rsidTr="00D61483">
        <w:tc>
          <w:tcPr>
            <w:tcW w:w="3190" w:type="dxa"/>
            <w:vAlign w:val="center"/>
          </w:tcPr>
          <w:p w:rsidR="00D61483" w:rsidRDefault="00D61483" w:rsidP="00D61483">
            <w:pPr>
              <w:tabs>
                <w:tab w:val="left" w:pos="0"/>
              </w:tabs>
              <w:rPr>
                <w:sz w:val="28"/>
                <w:szCs w:val="28"/>
              </w:rPr>
            </w:pPr>
            <w:r>
              <w:rPr>
                <w:sz w:val="28"/>
                <w:szCs w:val="28"/>
              </w:rPr>
              <w:t>акцизний податок (14021900;14031900;14040000)</w:t>
            </w:r>
            <w:r>
              <w:rPr>
                <w:sz w:val="28"/>
                <w:szCs w:val="28"/>
                <w:lang w:val="ru-RU"/>
              </w:rPr>
              <w:t xml:space="preserve">                                               </w:t>
            </w:r>
          </w:p>
        </w:tc>
        <w:tc>
          <w:tcPr>
            <w:tcW w:w="3190" w:type="dxa"/>
            <w:vAlign w:val="center"/>
          </w:tcPr>
          <w:p w:rsidR="00D61483" w:rsidRDefault="00D61483" w:rsidP="00D61483">
            <w:pPr>
              <w:tabs>
                <w:tab w:val="left" w:pos="709"/>
                <w:tab w:val="left" w:pos="2895"/>
                <w:tab w:val="left" w:pos="5655"/>
                <w:tab w:val="left" w:pos="8460"/>
              </w:tabs>
              <w:jc w:val="center"/>
              <w:rPr>
                <w:sz w:val="28"/>
                <w:szCs w:val="28"/>
              </w:rPr>
            </w:pPr>
            <w:r>
              <w:rPr>
                <w:sz w:val="28"/>
                <w:szCs w:val="28"/>
                <w:lang w:val="ru-RU"/>
              </w:rPr>
              <w:t>51 881,288</w:t>
            </w:r>
          </w:p>
        </w:tc>
        <w:tc>
          <w:tcPr>
            <w:tcW w:w="3191" w:type="dxa"/>
            <w:vAlign w:val="center"/>
          </w:tcPr>
          <w:p w:rsidR="00D61483" w:rsidRDefault="00D61483" w:rsidP="00D61483">
            <w:pPr>
              <w:tabs>
                <w:tab w:val="left" w:pos="0"/>
                <w:tab w:val="left" w:pos="7513"/>
                <w:tab w:val="left" w:pos="9072"/>
              </w:tabs>
              <w:jc w:val="center"/>
              <w:rPr>
                <w:sz w:val="28"/>
                <w:szCs w:val="28"/>
              </w:rPr>
            </w:pPr>
            <w:r>
              <w:rPr>
                <w:sz w:val="28"/>
                <w:szCs w:val="28"/>
              </w:rPr>
              <w:t>10,3</w:t>
            </w:r>
          </w:p>
          <w:p w:rsidR="00D61483" w:rsidRDefault="00D61483" w:rsidP="00D61483">
            <w:pPr>
              <w:tabs>
                <w:tab w:val="left" w:pos="709"/>
                <w:tab w:val="left" w:pos="2895"/>
                <w:tab w:val="left" w:pos="5655"/>
                <w:tab w:val="left" w:pos="8460"/>
              </w:tabs>
              <w:jc w:val="center"/>
              <w:rPr>
                <w:sz w:val="28"/>
                <w:szCs w:val="28"/>
              </w:rPr>
            </w:pPr>
          </w:p>
        </w:tc>
      </w:tr>
      <w:tr w:rsidR="00D61483" w:rsidTr="00D61483">
        <w:tc>
          <w:tcPr>
            <w:tcW w:w="3190" w:type="dxa"/>
            <w:vAlign w:val="center"/>
          </w:tcPr>
          <w:p w:rsidR="00D61483" w:rsidRDefault="00D61483" w:rsidP="00D61483">
            <w:pPr>
              <w:tabs>
                <w:tab w:val="left" w:pos="709"/>
                <w:tab w:val="left" w:pos="2895"/>
                <w:tab w:val="left" w:pos="5655"/>
                <w:tab w:val="left" w:pos="8460"/>
              </w:tabs>
              <w:rPr>
                <w:sz w:val="28"/>
                <w:szCs w:val="28"/>
              </w:rPr>
            </w:pPr>
            <w:r>
              <w:rPr>
                <w:sz w:val="28"/>
                <w:szCs w:val="28"/>
              </w:rPr>
              <w:t>єдиний податок  (18050000)</w:t>
            </w:r>
          </w:p>
        </w:tc>
        <w:tc>
          <w:tcPr>
            <w:tcW w:w="3190" w:type="dxa"/>
            <w:vAlign w:val="center"/>
          </w:tcPr>
          <w:p w:rsidR="00D61483" w:rsidRDefault="00D61483" w:rsidP="00D61483">
            <w:pPr>
              <w:tabs>
                <w:tab w:val="left" w:pos="709"/>
                <w:tab w:val="left" w:pos="2895"/>
                <w:tab w:val="left" w:pos="5655"/>
                <w:tab w:val="left" w:pos="8460"/>
              </w:tabs>
              <w:jc w:val="center"/>
              <w:rPr>
                <w:sz w:val="28"/>
                <w:szCs w:val="28"/>
              </w:rPr>
            </w:pPr>
            <w:r>
              <w:rPr>
                <w:sz w:val="28"/>
                <w:szCs w:val="28"/>
                <w:lang w:val="ru-RU"/>
              </w:rPr>
              <w:t>42 705,581</w:t>
            </w:r>
          </w:p>
        </w:tc>
        <w:tc>
          <w:tcPr>
            <w:tcW w:w="3191" w:type="dxa"/>
            <w:vAlign w:val="center"/>
          </w:tcPr>
          <w:p w:rsidR="00D61483" w:rsidRDefault="00D61483" w:rsidP="00D61483">
            <w:pPr>
              <w:tabs>
                <w:tab w:val="left" w:pos="709"/>
                <w:tab w:val="left" w:pos="2895"/>
                <w:tab w:val="left" w:pos="5655"/>
                <w:tab w:val="left" w:pos="8460"/>
              </w:tabs>
              <w:jc w:val="center"/>
              <w:rPr>
                <w:sz w:val="28"/>
                <w:szCs w:val="28"/>
              </w:rPr>
            </w:pPr>
            <w:r>
              <w:rPr>
                <w:sz w:val="28"/>
                <w:szCs w:val="28"/>
              </w:rPr>
              <w:t>8,5</w:t>
            </w:r>
          </w:p>
        </w:tc>
      </w:tr>
      <w:tr w:rsidR="00D61483" w:rsidTr="00D61483">
        <w:tc>
          <w:tcPr>
            <w:tcW w:w="3190" w:type="dxa"/>
            <w:vAlign w:val="center"/>
          </w:tcPr>
          <w:p w:rsidR="00D61483" w:rsidRDefault="00D61483" w:rsidP="00D61483">
            <w:pPr>
              <w:tabs>
                <w:tab w:val="left" w:pos="709"/>
                <w:tab w:val="left" w:pos="2895"/>
                <w:tab w:val="left" w:pos="5655"/>
                <w:tab w:val="left" w:pos="8460"/>
              </w:tabs>
              <w:rPr>
                <w:sz w:val="28"/>
                <w:szCs w:val="28"/>
              </w:rPr>
            </w:pPr>
            <w:r>
              <w:rPr>
                <w:b/>
                <w:bCs/>
                <w:iCs/>
                <w:sz w:val="28"/>
                <w:szCs w:val="28"/>
              </w:rPr>
              <w:t>Разом</w:t>
            </w:r>
            <w:r>
              <w:rPr>
                <w:b/>
                <w:bCs/>
                <w:iCs/>
                <w:sz w:val="28"/>
                <w:szCs w:val="28"/>
                <w:lang w:val="ru-RU"/>
              </w:rPr>
              <w:t xml:space="preserve"> </w:t>
            </w:r>
          </w:p>
        </w:tc>
        <w:tc>
          <w:tcPr>
            <w:tcW w:w="3190" w:type="dxa"/>
            <w:vAlign w:val="center"/>
          </w:tcPr>
          <w:p w:rsidR="00D61483" w:rsidRDefault="00D61483" w:rsidP="00D61483">
            <w:pPr>
              <w:tabs>
                <w:tab w:val="left" w:pos="709"/>
                <w:tab w:val="left" w:pos="2895"/>
                <w:tab w:val="left" w:pos="5655"/>
                <w:tab w:val="left" w:pos="8460"/>
              </w:tabs>
              <w:jc w:val="center"/>
              <w:rPr>
                <w:sz w:val="28"/>
                <w:szCs w:val="28"/>
                <w:lang w:val="ru-RU"/>
              </w:rPr>
            </w:pPr>
            <w:r>
              <w:rPr>
                <w:b/>
                <w:bCs/>
                <w:iCs/>
                <w:sz w:val="28"/>
                <w:szCs w:val="28"/>
                <w:lang w:val="ru-RU"/>
              </w:rPr>
              <w:t>487 067,138</w:t>
            </w:r>
          </w:p>
        </w:tc>
        <w:tc>
          <w:tcPr>
            <w:tcW w:w="3191" w:type="dxa"/>
            <w:vAlign w:val="center"/>
          </w:tcPr>
          <w:p w:rsidR="00D61483" w:rsidRDefault="00D61483" w:rsidP="00D61483">
            <w:pPr>
              <w:tabs>
                <w:tab w:val="left" w:pos="709"/>
                <w:tab w:val="left" w:pos="2895"/>
                <w:tab w:val="left" w:pos="5655"/>
                <w:tab w:val="left" w:pos="8460"/>
              </w:tabs>
              <w:jc w:val="center"/>
              <w:rPr>
                <w:sz w:val="28"/>
                <w:szCs w:val="28"/>
              </w:rPr>
            </w:pPr>
            <w:r>
              <w:rPr>
                <w:b/>
                <w:bCs/>
                <w:iCs/>
                <w:sz w:val="28"/>
                <w:szCs w:val="28"/>
              </w:rPr>
              <w:t>96,7</w:t>
            </w:r>
          </w:p>
        </w:tc>
      </w:tr>
    </w:tbl>
    <w:p w:rsidR="00D61483" w:rsidRDefault="00D61483" w:rsidP="0018163B">
      <w:pPr>
        <w:ind w:firstLine="709"/>
        <w:jc w:val="both"/>
        <w:rPr>
          <w:sz w:val="28"/>
          <w:szCs w:val="28"/>
        </w:rPr>
      </w:pPr>
    </w:p>
    <w:p w:rsidR="0018163B" w:rsidRDefault="0018163B" w:rsidP="0018163B">
      <w:pPr>
        <w:ind w:firstLine="709"/>
        <w:jc w:val="both"/>
        <w:rPr>
          <w:color w:val="FF0000"/>
          <w:sz w:val="28"/>
          <w:szCs w:val="28"/>
        </w:rPr>
      </w:pPr>
      <w:r>
        <w:rPr>
          <w:sz w:val="28"/>
          <w:szCs w:val="28"/>
        </w:rPr>
        <w:t>За звітний період виконання планових  показників забезпечено по всіх джерелах доходів загального фонду міського бюджету.</w:t>
      </w:r>
    </w:p>
    <w:p w:rsidR="0018163B" w:rsidRDefault="0018163B" w:rsidP="00D61483">
      <w:pPr>
        <w:tabs>
          <w:tab w:val="left" w:pos="709"/>
        </w:tabs>
        <w:ind w:firstLine="696"/>
        <w:jc w:val="both"/>
        <w:rPr>
          <w:color w:val="FF0000"/>
          <w:sz w:val="28"/>
          <w:szCs w:val="28"/>
        </w:rPr>
      </w:pPr>
      <w:r>
        <w:rPr>
          <w:spacing w:val="1"/>
          <w:sz w:val="28"/>
          <w:szCs w:val="28"/>
        </w:rPr>
        <w:t xml:space="preserve">93,4% від суми понадпланових надходжень отримано завдяки перевиконанню планових показників по головних бюджетоутворюючих джерелах доходів: </w:t>
      </w:r>
    </w:p>
    <w:p w:rsidR="0018163B" w:rsidRPr="00D61483" w:rsidRDefault="0018163B" w:rsidP="00D61483">
      <w:pPr>
        <w:pStyle w:val="a5"/>
        <w:numPr>
          <w:ilvl w:val="0"/>
          <w:numId w:val="2"/>
        </w:numPr>
        <w:tabs>
          <w:tab w:val="left" w:pos="709"/>
          <w:tab w:val="left" w:pos="993"/>
        </w:tabs>
        <w:ind w:left="0" w:firstLine="720"/>
        <w:jc w:val="both"/>
        <w:rPr>
          <w:spacing w:val="1"/>
          <w:sz w:val="28"/>
          <w:szCs w:val="28"/>
        </w:rPr>
      </w:pPr>
      <w:r w:rsidRPr="00D61483">
        <w:rPr>
          <w:spacing w:val="1"/>
          <w:sz w:val="28"/>
          <w:szCs w:val="28"/>
        </w:rPr>
        <w:t>податку на доходи фізичних осіб – 107,9% при  уточненому плані 289 062,905 тис.</w:t>
      </w:r>
      <w:r w:rsidR="00D61483">
        <w:rPr>
          <w:spacing w:val="1"/>
          <w:sz w:val="28"/>
          <w:szCs w:val="28"/>
        </w:rPr>
        <w:t xml:space="preserve"> </w:t>
      </w:r>
      <w:r w:rsidRPr="00D61483">
        <w:rPr>
          <w:spacing w:val="1"/>
          <w:sz w:val="28"/>
          <w:szCs w:val="28"/>
        </w:rPr>
        <w:t>грн. фактично надійшло 311 909,121 тис.</w:t>
      </w:r>
      <w:r w:rsidR="00D61483">
        <w:rPr>
          <w:spacing w:val="1"/>
          <w:sz w:val="28"/>
          <w:szCs w:val="28"/>
        </w:rPr>
        <w:t xml:space="preserve"> </w:t>
      </w:r>
      <w:r w:rsidRPr="00D61483">
        <w:rPr>
          <w:spacing w:val="1"/>
          <w:sz w:val="28"/>
          <w:szCs w:val="28"/>
        </w:rPr>
        <w:t xml:space="preserve">грн. /+/ </w:t>
      </w:r>
      <w:r w:rsidR="00D61483">
        <w:rPr>
          <w:spacing w:val="1"/>
          <w:sz w:val="28"/>
          <w:szCs w:val="28"/>
        </w:rPr>
        <w:t xml:space="preserve">                            </w:t>
      </w:r>
      <w:r w:rsidRPr="00D61483">
        <w:rPr>
          <w:spacing w:val="1"/>
          <w:sz w:val="28"/>
          <w:szCs w:val="28"/>
        </w:rPr>
        <w:t>22 846,216 тис.</w:t>
      </w:r>
      <w:r w:rsidR="00D61483">
        <w:rPr>
          <w:spacing w:val="1"/>
          <w:sz w:val="28"/>
          <w:szCs w:val="28"/>
        </w:rPr>
        <w:t xml:space="preserve"> </w:t>
      </w:r>
      <w:r w:rsidRPr="00D61483">
        <w:rPr>
          <w:spacing w:val="1"/>
          <w:sz w:val="28"/>
          <w:szCs w:val="28"/>
        </w:rPr>
        <w:t>грн., виконання до річного плану склало – 55,6%,</w:t>
      </w:r>
      <w:r>
        <w:t xml:space="preserve"> </w:t>
      </w:r>
      <w:r w:rsidRPr="00D61483">
        <w:rPr>
          <w:spacing w:val="1"/>
          <w:sz w:val="28"/>
          <w:szCs w:val="28"/>
        </w:rPr>
        <w:t>що в основному пов’язано із збільшенням  розміру мінімальної заробітної плати на рівні 3</w:t>
      </w:r>
      <w:r w:rsidR="00D61483">
        <w:rPr>
          <w:spacing w:val="1"/>
          <w:sz w:val="28"/>
          <w:szCs w:val="28"/>
        </w:rPr>
        <w:t xml:space="preserve"> </w:t>
      </w:r>
      <w:r w:rsidRPr="00D61483">
        <w:rPr>
          <w:spacing w:val="1"/>
          <w:sz w:val="28"/>
          <w:szCs w:val="28"/>
        </w:rPr>
        <w:t xml:space="preserve">200 грн., зростанням фонду оплати праці на підприємствах міста, а також зростанням заробітної плати працівників бюджетної сфери </w:t>
      </w:r>
      <w:r w:rsidR="00D61483">
        <w:rPr>
          <w:spacing w:val="1"/>
          <w:sz w:val="28"/>
          <w:szCs w:val="28"/>
        </w:rPr>
        <w:t xml:space="preserve">                        </w:t>
      </w:r>
      <w:r w:rsidRPr="00D61483">
        <w:rPr>
          <w:spacing w:val="1"/>
          <w:sz w:val="28"/>
          <w:szCs w:val="28"/>
        </w:rPr>
        <w:t>на 30% - 50%;</w:t>
      </w:r>
    </w:p>
    <w:p w:rsidR="0018163B" w:rsidRPr="00D61483" w:rsidRDefault="0018163B" w:rsidP="00D61483">
      <w:pPr>
        <w:pStyle w:val="a5"/>
        <w:numPr>
          <w:ilvl w:val="0"/>
          <w:numId w:val="2"/>
        </w:numPr>
        <w:tabs>
          <w:tab w:val="left" w:pos="709"/>
          <w:tab w:val="left" w:pos="993"/>
        </w:tabs>
        <w:ind w:left="0" w:firstLine="720"/>
        <w:jc w:val="both"/>
        <w:rPr>
          <w:spacing w:val="1"/>
          <w:sz w:val="28"/>
          <w:szCs w:val="28"/>
        </w:rPr>
      </w:pPr>
      <w:r w:rsidRPr="00D61483">
        <w:rPr>
          <w:spacing w:val="1"/>
          <w:sz w:val="28"/>
          <w:szCs w:val="28"/>
        </w:rPr>
        <w:lastRenderedPageBreak/>
        <w:t>податку на майно в частині  земельного податку – 110,4%</w:t>
      </w:r>
      <w:r w:rsidRPr="00D61483">
        <w:rPr>
          <w:sz w:val="28"/>
          <w:szCs w:val="28"/>
        </w:rPr>
        <w:t xml:space="preserve"> </w:t>
      </w:r>
      <w:r w:rsidRPr="00D61483">
        <w:rPr>
          <w:spacing w:val="1"/>
          <w:sz w:val="28"/>
          <w:szCs w:val="28"/>
        </w:rPr>
        <w:t>при                        уточненому плані 72 950,000 тис.</w:t>
      </w:r>
      <w:r w:rsidR="00D61483">
        <w:rPr>
          <w:spacing w:val="1"/>
          <w:sz w:val="28"/>
          <w:szCs w:val="28"/>
        </w:rPr>
        <w:t xml:space="preserve"> </w:t>
      </w:r>
      <w:r w:rsidRPr="00D61483">
        <w:rPr>
          <w:spacing w:val="1"/>
          <w:sz w:val="28"/>
          <w:szCs w:val="28"/>
        </w:rPr>
        <w:t>грн. фактично надійшло 80 571,148 тис.</w:t>
      </w:r>
      <w:r w:rsidR="00D61483">
        <w:rPr>
          <w:spacing w:val="1"/>
          <w:sz w:val="28"/>
          <w:szCs w:val="28"/>
        </w:rPr>
        <w:t xml:space="preserve"> </w:t>
      </w:r>
      <w:r w:rsidRPr="00D61483">
        <w:rPr>
          <w:spacing w:val="1"/>
          <w:sz w:val="28"/>
          <w:szCs w:val="28"/>
        </w:rPr>
        <w:t>грн. /+/ 7 621,148 тис.</w:t>
      </w:r>
      <w:r w:rsidR="00D61483">
        <w:rPr>
          <w:spacing w:val="1"/>
          <w:sz w:val="28"/>
          <w:szCs w:val="28"/>
        </w:rPr>
        <w:t xml:space="preserve"> </w:t>
      </w:r>
      <w:r w:rsidRPr="00D61483">
        <w:rPr>
          <w:spacing w:val="1"/>
          <w:sz w:val="28"/>
          <w:szCs w:val="28"/>
        </w:rPr>
        <w:t>грн., до річного плану – 55,8%.</w:t>
      </w:r>
      <w:r>
        <w:t xml:space="preserve"> </w:t>
      </w:r>
      <w:r w:rsidRPr="00D61483">
        <w:rPr>
          <w:spacing w:val="1"/>
          <w:sz w:val="28"/>
          <w:szCs w:val="28"/>
        </w:rPr>
        <w:t>При формуванні бюджету не було враховано коефіцієнт інфляції 1,06, який на той час не був затверджений;</w:t>
      </w:r>
    </w:p>
    <w:p w:rsidR="0018163B" w:rsidRPr="00F22E21" w:rsidRDefault="0018163B" w:rsidP="00F22E21">
      <w:pPr>
        <w:pStyle w:val="a5"/>
        <w:numPr>
          <w:ilvl w:val="0"/>
          <w:numId w:val="2"/>
        </w:numPr>
        <w:tabs>
          <w:tab w:val="left" w:pos="709"/>
          <w:tab w:val="left" w:pos="993"/>
        </w:tabs>
        <w:ind w:left="0" w:firstLine="720"/>
        <w:jc w:val="both"/>
        <w:rPr>
          <w:spacing w:val="1"/>
          <w:sz w:val="28"/>
          <w:szCs w:val="28"/>
        </w:rPr>
      </w:pPr>
      <w:r w:rsidRPr="00D61483">
        <w:rPr>
          <w:spacing w:val="1"/>
          <w:sz w:val="28"/>
          <w:szCs w:val="28"/>
        </w:rPr>
        <w:t>єдиному податку – 112,5%  при уточненому плані 37 963,500 тис.</w:t>
      </w:r>
      <w:r w:rsidR="00D61483">
        <w:rPr>
          <w:spacing w:val="1"/>
          <w:sz w:val="28"/>
          <w:szCs w:val="28"/>
        </w:rPr>
        <w:t xml:space="preserve"> </w:t>
      </w:r>
      <w:r w:rsidRPr="00D61483">
        <w:rPr>
          <w:spacing w:val="1"/>
          <w:sz w:val="28"/>
          <w:szCs w:val="28"/>
        </w:rPr>
        <w:t>грн. фактично надійшло  42 705,581 тис.</w:t>
      </w:r>
      <w:r w:rsidR="00D61483">
        <w:rPr>
          <w:spacing w:val="1"/>
          <w:sz w:val="28"/>
          <w:szCs w:val="28"/>
        </w:rPr>
        <w:t xml:space="preserve"> </w:t>
      </w:r>
      <w:r w:rsidRPr="00D61483">
        <w:rPr>
          <w:spacing w:val="1"/>
          <w:sz w:val="28"/>
          <w:szCs w:val="28"/>
        </w:rPr>
        <w:t>грн. /+/ 4 742,081  тис.</w:t>
      </w:r>
      <w:r w:rsidR="00D61483">
        <w:rPr>
          <w:spacing w:val="1"/>
          <w:sz w:val="28"/>
          <w:szCs w:val="28"/>
        </w:rPr>
        <w:t xml:space="preserve"> </w:t>
      </w:r>
      <w:r w:rsidR="00F22E21">
        <w:rPr>
          <w:spacing w:val="1"/>
          <w:sz w:val="28"/>
          <w:szCs w:val="28"/>
        </w:rPr>
        <w:t xml:space="preserve">грн., до річного плану – </w:t>
      </w:r>
      <w:r w:rsidRPr="00F22E21">
        <w:rPr>
          <w:spacing w:val="1"/>
          <w:sz w:val="28"/>
          <w:szCs w:val="28"/>
        </w:rPr>
        <w:t>59,7%.</w:t>
      </w:r>
      <w:r>
        <w:t xml:space="preserve"> </w:t>
      </w:r>
      <w:r w:rsidRPr="00F22E21">
        <w:rPr>
          <w:spacing w:val="1"/>
          <w:sz w:val="28"/>
          <w:szCs w:val="28"/>
        </w:rPr>
        <w:t xml:space="preserve">На збільшення надходжень від сплати єдиного податку </w:t>
      </w:r>
      <w:r w:rsidRPr="00F22E21">
        <w:rPr>
          <w:spacing w:val="1"/>
          <w:sz w:val="28"/>
          <w:szCs w:val="28"/>
          <w:u w:val="single"/>
        </w:rPr>
        <w:t>фізичними</w:t>
      </w:r>
      <w:r w:rsidRPr="00F22E21">
        <w:rPr>
          <w:spacing w:val="1"/>
          <w:sz w:val="28"/>
          <w:szCs w:val="28"/>
        </w:rPr>
        <w:t xml:space="preserve"> особами вплинуло: збільшення кількості платників  єдиного податку, зростання цін на товари, послуги та зростанням обсягів оподатковуваного доходу платників, сплата донарахованих сум за результатами документальних позапланових перевірок. Відсутність росту обсягів надходжень у 2017 році  по єдиному податку з </w:t>
      </w:r>
      <w:r w:rsidRPr="00F22E21">
        <w:rPr>
          <w:spacing w:val="1"/>
          <w:sz w:val="28"/>
          <w:szCs w:val="28"/>
          <w:u w:val="single"/>
        </w:rPr>
        <w:t>юридичних</w:t>
      </w:r>
      <w:r w:rsidRPr="00F22E21">
        <w:rPr>
          <w:spacing w:val="1"/>
          <w:sz w:val="28"/>
          <w:szCs w:val="28"/>
        </w:rPr>
        <w:t xml:space="preserve"> осіб обумовлена зменшенням кількості платників, що  пов’язано з проведенням ліквідаційної процедури (більшості випадків за власним рішенням). За 5 місяців 2017 року по юридичних особах подано  14 заяв на припинення діяльності за власним бажанням. </w:t>
      </w:r>
    </w:p>
    <w:p w:rsidR="0018163B" w:rsidRPr="00D61483" w:rsidRDefault="0018163B" w:rsidP="00D61483">
      <w:pPr>
        <w:pStyle w:val="a5"/>
        <w:numPr>
          <w:ilvl w:val="0"/>
          <w:numId w:val="2"/>
        </w:numPr>
        <w:tabs>
          <w:tab w:val="left" w:pos="709"/>
          <w:tab w:val="left" w:pos="993"/>
        </w:tabs>
        <w:ind w:left="0" w:firstLine="720"/>
        <w:jc w:val="both"/>
        <w:rPr>
          <w:spacing w:val="1"/>
          <w:sz w:val="28"/>
          <w:szCs w:val="28"/>
        </w:rPr>
      </w:pPr>
      <w:r w:rsidRPr="00D61483">
        <w:rPr>
          <w:spacing w:val="1"/>
          <w:sz w:val="28"/>
          <w:szCs w:val="28"/>
        </w:rPr>
        <w:t xml:space="preserve">акцизному податку </w:t>
      </w:r>
      <w:r w:rsidRPr="00D61483">
        <w:rPr>
          <w:sz w:val="28"/>
          <w:szCs w:val="28"/>
        </w:rPr>
        <w:t xml:space="preserve">– 101,6% </w:t>
      </w:r>
      <w:r w:rsidRPr="00D61483">
        <w:rPr>
          <w:spacing w:val="1"/>
          <w:sz w:val="28"/>
          <w:szCs w:val="28"/>
        </w:rPr>
        <w:t>при плані 51 051,568 тис.</w:t>
      </w:r>
      <w:r w:rsidR="00F22E21">
        <w:rPr>
          <w:spacing w:val="1"/>
          <w:sz w:val="28"/>
          <w:szCs w:val="28"/>
        </w:rPr>
        <w:t xml:space="preserve"> </w:t>
      </w:r>
      <w:r w:rsidRPr="00D61483">
        <w:rPr>
          <w:spacing w:val="1"/>
          <w:sz w:val="28"/>
          <w:szCs w:val="28"/>
        </w:rPr>
        <w:t>грн. фактично надійшло 51 881,288 тис.</w:t>
      </w:r>
      <w:r w:rsidR="00F22E21">
        <w:rPr>
          <w:spacing w:val="1"/>
          <w:sz w:val="28"/>
          <w:szCs w:val="28"/>
        </w:rPr>
        <w:t xml:space="preserve"> </w:t>
      </w:r>
      <w:r w:rsidRPr="00D61483">
        <w:rPr>
          <w:spacing w:val="1"/>
          <w:sz w:val="28"/>
          <w:szCs w:val="28"/>
        </w:rPr>
        <w:t>грн. /+/ 829,720 тис.</w:t>
      </w:r>
      <w:r w:rsidR="00F22E21">
        <w:rPr>
          <w:spacing w:val="1"/>
          <w:sz w:val="28"/>
          <w:szCs w:val="28"/>
        </w:rPr>
        <w:t xml:space="preserve"> </w:t>
      </w:r>
      <w:r w:rsidRPr="00D61483">
        <w:rPr>
          <w:spacing w:val="1"/>
          <w:sz w:val="28"/>
          <w:szCs w:val="28"/>
        </w:rPr>
        <w:t>грн., до річного плану -  43,2%.</w:t>
      </w:r>
    </w:p>
    <w:p w:rsidR="0018163B" w:rsidRDefault="0018163B" w:rsidP="0018163B">
      <w:pPr>
        <w:ind w:firstLine="696"/>
        <w:jc w:val="both"/>
        <w:rPr>
          <w:sz w:val="28"/>
          <w:szCs w:val="28"/>
        </w:rPr>
      </w:pPr>
      <w:r>
        <w:rPr>
          <w:spacing w:val="1"/>
          <w:sz w:val="28"/>
          <w:szCs w:val="28"/>
        </w:rPr>
        <w:t>За інформацією управління економіки виконавчого комітету Кременчуцької міської ради Полтавської області станом на 01.07.2017 с</w:t>
      </w:r>
      <w:r>
        <w:rPr>
          <w:sz w:val="28"/>
          <w:szCs w:val="28"/>
        </w:rPr>
        <w:t xml:space="preserve">постерігалося зниження обсягів виробництва в порівнянні з аналогічним періодом  2016 року на бюджетоутворюючих підприємствах міста: </w:t>
      </w:r>
      <w:r w:rsidR="00A0081A">
        <w:rPr>
          <w:sz w:val="28"/>
          <w:szCs w:val="28"/>
        </w:rPr>
        <w:t xml:space="preserve">                       </w:t>
      </w:r>
      <w:r>
        <w:rPr>
          <w:sz w:val="28"/>
          <w:szCs w:val="28"/>
        </w:rPr>
        <w:t xml:space="preserve">ПАТ «Кременчуцький </w:t>
      </w:r>
      <w:proofErr w:type="spellStart"/>
      <w:r>
        <w:rPr>
          <w:sz w:val="28"/>
          <w:szCs w:val="28"/>
        </w:rPr>
        <w:t>міськмолокозавод</w:t>
      </w:r>
      <w:proofErr w:type="spellEnd"/>
      <w:r>
        <w:rPr>
          <w:sz w:val="28"/>
          <w:szCs w:val="28"/>
        </w:rPr>
        <w:t>» - на 13,0%; ПАТ «Кременчуцьке кар’єроуправління «Кварц» - на 2,8%; ВП «</w:t>
      </w:r>
      <w:proofErr w:type="spellStart"/>
      <w:r>
        <w:rPr>
          <w:sz w:val="28"/>
          <w:szCs w:val="28"/>
        </w:rPr>
        <w:t>Крюківський</w:t>
      </w:r>
      <w:proofErr w:type="spellEnd"/>
      <w:r>
        <w:rPr>
          <w:sz w:val="28"/>
          <w:szCs w:val="28"/>
        </w:rPr>
        <w:t xml:space="preserve">  кар’єр» «ЦУП» </w:t>
      </w:r>
      <w:r w:rsidR="00A0081A">
        <w:rPr>
          <w:sz w:val="28"/>
          <w:szCs w:val="28"/>
        </w:rPr>
        <w:t xml:space="preserve">             </w:t>
      </w:r>
      <w:r>
        <w:rPr>
          <w:sz w:val="28"/>
          <w:szCs w:val="28"/>
        </w:rPr>
        <w:t>ПАТ «Укрзалізниця» -  на 4,7% та ПАТ ВТФ «КРЕМТЕКС» -  на  3,1%.</w:t>
      </w:r>
    </w:p>
    <w:p w:rsidR="0018163B" w:rsidRDefault="0018163B" w:rsidP="0018163B">
      <w:pPr>
        <w:ind w:firstLine="696"/>
        <w:jc w:val="both"/>
        <w:rPr>
          <w:sz w:val="28"/>
          <w:szCs w:val="28"/>
        </w:rPr>
      </w:pPr>
      <w:r>
        <w:rPr>
          <w:sz w:val="28"/>
          <w:szCs w:val="28"/>
        </w:rPr>
        <w:t>В той же час ПАТ «</w:t>
      </w:r>
      <w:proofErr w:type="spellStart"/>
      <w:r>
        <w:rPr>
          <w:sz w:val="28"/>
          <w:szCs w:val="28"/>
        </w:rPr>
        <w:t>Крюківський</w:t>
      </w:r>
      <w:proofErr w:type="spellEnd"/>
      <w:r>
        <w:rPr>
          <w:sz w:val="28"/>
          <w:szCs w:val="28"/>
        </w:rPr>
        <w:t xml:space="preserve"> вагонобудівний завод» наростив випуск вантажних вагонів  </w:t>
      </w:r>
      <w:r>
        <w:rPr>
          <w:sz w:val="28"/>
          <w:szCs w:val="28"/>
          <w:lang w:val="ru-RU"/>
        </w:rPr>
        <w:t>на 17,5%</w:t>
      </w:r>
      <w:r>
        <w:rPr>
          <w:sz w:val="28"/>
          <w:szCs w:val="28"/>
        </w:rPr>
        <w:t xml:space="preserve">, пасажирські вагони: січень - </w:t>
      </w:r>
      <w:proofErr w:type="spellStart"/>
      <w:r>
        <w:rPr>
          <w:sz w:val="28"/>
          <w:szCs w:val="28"/>
          <w:lang w:val="ru-RU"/>
        </w:rPr>
        <w:t>червень</w:t>
      </w:r>
      <w:proofErr w:type="spellEnd"/>
      <w:r>
        <w:rPr>
          <w:sz w:val="28"/>
          <w:szCs w:val="28"/>
        </w:rPr>
        <w:t xml:space="preserve">  2017</w:t>
      </w:r>
      <w:r w:rsidR="00F22E21">
        <w:rPr>
          <w:sz w:val="28"/>
          <w:szCs w:val="28"/>
        </w:rPr>
        <w:t xml:space="preserve"> </w:t>
      </w:r>
      <w:r>
        <w:rPr>
          <w:sz w:val="28"/>
          <w:szCs w:val="28"/>
        </w:rPr>
        <w:t>р</w:t>
      </w:r>
      <w:r w:rsidR="00F22E21">
        <w:rPr>
          <w:sz w:val="28"/>
          <w:szCs w:val="28"/>
        </w:rPr>
        <w:t>оку</w:t>
      </w:r>
      <w:r>
        <w:rPr>
          <w:sz w:val="28"/>
          <w:szCs w:val="28"/>
        </w:rPr>
        <w:t xml:space="preserve"> –  </w:t>
      </w:r>
      <w:r w:rsidR="00F22E21">
        <w:rPr>
          <w:sz w:val="28"/>
          <w:szCs w:val="28"/>
        </w:rPr>
        <w:t xml:space="preserve">             </w:t>
      </w:r>
      <w:r>
        <w:rPr>
          <w:sz w:val="28"/>
          <w:szCs w:val="28"/>
        </w:rPr>
        <w:t xml:space="preserve">13 шт., січень - </w:t>
      </w:r>
      <w:proofErr w:type="spellStart"/>
      <w:r>
        <w:rPr>
          <w:sz w:val="28"/>
          <w:szCs w:val="28"/>
          <w:lang w:val="ru-RU"/>
        </w:rPr>
        <w:t>червень</w:t>
      </w:r>
      <w:proofErr w:type="spellEnd"/>
      <w:r>
        <w:rPr>
          <w:sz w:val="28"/>
          <w:szCs w:val="28"/>
        </w:rPr>
        <w:t xml:space="preserve"> 2016</w:t>
      </w:r>
      <w:r w:rsidR="00F22E21">
        <w:rPr>
          <w:sz w:val="28"/>
          <w:szCs w:val="28"/>
        </w:rPr>
        <w:t xml:space="preserve"> </w:t>
      </w:r>
      <w:r>
        <w:rPr>
          <w:sz w:val="28"/>
          <w:szCs w:val="28"/>
        </w:rPr>
        <w:t>р</w:t>
      </w:r>
      <w:r w:rsidR="00F22E21">
        <w:rPr>
          <w:sz w:val="28"/>
          <w:szCs w:val="28"/>
        </w:rPr>
        <w:t>оку</w:t>
      </w:r>
      <w:r>
        <w:rPr>
          <w:sz w:val="28"/>
          <w:szCs w:val="28"/>
        </w:rPr>
        <w:t xml:space="preserve">  – 0 шт., модернізація  вагонів – 15 шт.; </w:t>
      </w:r>
      <w:r w:rsidR="00F22E21">
        <w:rPr>
          <w:sz w:val="28"/>
          <w:szCs w:val="28"/>
        </w:rPr>
        <w:t xml:space="preserve">                 </w:t>
      </w:r>
      <w:r>
        <w:rPr>
          <w:sz w:val="28"/>
          <w:szCs w:val="28"/>
        </w:rPr>
        <w:t>ПАТ «</w:t>
      </w:r>
      <w:proofErr w:type="spellStart"/>
      <w:r>
        <w:rPr>
          <w:sz w:val="28"/>
          <w:szCs w:val="28"/>
        </w:rPr>
        <w:t>Кредмаш</w:t>
      </w:r>
      <w:proofErr w:type="spellEnd"/>
      <w:r>
        <w:rPr>
          <w:sz w:val="28"/>
          <w:szCs w:val="28"/>
        </w:rPr>
        <w:t>» - вироблено установок більше в 2,0 р</w:t>
      </w:r>
      <w:r w:rsidR="00F22E21">
        <w:rPr>
          <w:sz w:val="28"/>
          <w:szCs w:val="28"/>
        </w:rPr>
        <w:t>ази</w:t>
      </w:r>
      <w:r>
        <w:rPr>
          <w:sz w:val="28"/>
          <w:szCs w:val="28"/>
        </w:rPr>
        <w:t>; ПАТ «</w:t>
      </w:r>
      <w:proofErr w:type="spellStart"/>
      <w:r>
        <w:rPr>
          <w:sz w:val="28"/>
          <w:szCs w:val="28"/>
        </w:rPr>
        <w:t>Стальзавод</w:t>
      </w:r>
      <w:proofErr w:type="spellEnd"/>
      <w:r>
        <w:rPr>
          <w:sz w:val="28"/>
          <w:szCs w:val="28"/>
        </w:rPr>
        <w:t>» - січень</w:t>
      </w:r>
      <w:r w:rsidR="00F22E21">
        <w:rPr>
          <w:sz w:val="28"/>
          <w:szCs w:val="28"/>
        </w:rPr>
        <w:t xml:space="preserve"> </w:t>
      </w:r>
      <w:r>
        <w:rPr>
          <w:sz w:val="28"/>
          <w:szCs w:val="28"/>
        </w:rPr>
        <w:t xml:space="preserve">- </w:t>
      </w:r>
      <w:proofErr w:type="spellStart"/>
      <w:r>
        <w:rPr>
          <w:sz w:val="28"/>
          <w:szCs w:val="28"/>
          <w:lang w:val="ru-RU"/>
        </w:rPr>
        <w:t>червень</w:t>
      </w:r>
      <w:proofErr w:type="spellEnd"/>
      <w:r>
        <w:rPr>
          <w:sz w:val="28"/>
          <w:szCs w:val="28"/>
        </w:rPr>
        <w:t xml:space="preserve"> 2017 року – 6 250,0 </w:t>
      </w:r>
      <w:r w:rsidR="00F22E21">
        <w:rPr>
          <w:sz w:val="28"/>
          <w:szCs w:val="28"/>
        </w:rPr>
        <w:t>тон</w:t>
      </w:r>
      <w:r>
        <w:rPr>
          <w:sz w:val="28"/>
          <w:szCs w:val="28"/>
        </w:rPr>
        <w:t xml:space="preserve"> литва, січень - </w:t>
      </w:r>
      <w:proofErr w:type="spellStart"/>
      <w:r>
        <w:rPr>
          <w:sz w:val="28"/>
          <w:szCs w:val="28"/>
          <w:lang w:val="ru-RU"/>
        </w:rPr>
        <w:t>червень</w:t>
      </w:r>
      <w:proofErr w:type="spellEnd"/>
      <w:r>
        <w:rPr>
          <w:sz w:val="28"/>
          <w:szCs w:val="28"/>
        </w:rPr>
        <w:t xml:space="preserve"> 2016 року – </w:t>
      </w:r>
      <w:r w:rsidR="00F22E21">
        <w:rPr>
          <w:sz w:val="28"/>
          <w:szCs w:val="28"/>
        </w:rPr>
        <w:t xml:space="preserve">           </w:t>
      </w:r>
      <w:r>
        <w:rPr>
          <w:sz w:val="28"/>
          <w:szCs w:val="28"/>
        </w:rPr>
        <w:t xml:space="preserve">0 </w:t>
      </w:r>
      <w:proofErr w:type="spellStart"/>
      <w:r>
        <w:rPr>
          <w:sz w:val="28"/>
          <w:szCs w:val="28"/>
        </w:rPr>
        <w:t>тонн</w:t>
      </w:r>
      <w:proofErr w:type="spellEnd"/>
      <w:r>
        <w:rPr>
          <w:sz w:val="28"/>
          <w:szCs w:val="28"/>
        </w:rPr>
        <w:t xml:space="preserve"> литва; ПАТ «Кременчуцький колісний завод» наростив випуск продукції - на 4,2% більше.; ПАТ «Кременчуцька кондитерська фабрика «РОШЕН» - на 4,1%; ТОВ «Кременчуцький хлібокомбінат» - на 16,3%; </w:t>
      </w:r>
      <w:r w:rsidR="00F22E21">
        <w:rPr>
          <w:sz w:val="28"/>
          <w:szCs w:val="28"/>
        </w:rPr>
        <w:t xml:space="preserve">                                           </w:t>
      </w:r>
      <w:r>
        <w:rPr>
          <w:sz w:val="28"/>
          <w:szCs w:val="28"/>
        </w:rPr>
        <w:t>ТОВ «</w:t>
      </w:r>
      <w:proofErr w:type="spellStart"/>
      <w:r>
        <w:rPr>
          <w:sz w:val="28"/>
          <w:szCs w:val="28"/>
        </w:rPr>
        <w:t>Мал</w:t>
      </w:r>
      <w:r w:rsidR="00F22E21">
        <w:rPr>
          <w:sz w:val="28"/>
          <w:szCs w:val="28"/>
        </w:rPr>
        <w:t>окохнівський</w:t>
      </w:r>
      <w:proofErr w:type="spellEnd"/>
      <w:r w:rsidR="00F22E21">
        <w:rPr>
          <w:sz w:val="28"/>
          <w:szCs w:val="28"/>
        </w:rPr>
        <w:t xml:space="preserve"> кар’єр» -  в 3,4 рази.</w:t>
      </w:r>
      <w:r>
        <w:rPr>
          <w:sz w:val="28"/>
          <w:szCs w:val="28"/>
        </w:rPr>
        <w:t xml:space="preserve">  </w:t>
      </w:r>
    </w:p>
    <w:p w:rsidR="0018163B" w:rsidRDefault="0018163B" w:rsidP="0018163B">
      <w:pPr>
        <w:ind w:firstLine="696"/>
        <w:jc w:val="both"/>
        <w:rPr>
          <w:sz w:val="28"/>
          <w:szCs w:val="28"/>
        </w:rPr>
      </w:pPr>
    </w:p>
    <w:p w:rsidR="0018163B" w:rsidRDefault="0018163B" w:rsidP="0018163B">
      <w:pPr>
        <w:jc w:val="center"/>
        <w:rPr>
          <w:b/>
          <w:sz w:val="28"/>
          <w:szCs w:val="28"/>
          <w:shd w:val="clear" w:color="auto" w:fill="FFFFFF"/>
        </w:rPr>
      </w:pPr>
      <w:r>
        <w:rPr>
          <w:b/>
          <w:sz w:val="28"/>
          <w:szCs w:val="28"/>
          <w:shd w:val="clear" w:color="auto" w:fill="FFFFFF"/>
        </w:rPr>
        <w:t xml:space="preserve">Інформація </w:t>
      </w:r>
    </w:p>
    <w:p w:rsidR="0018163B" w:rsidRDefault="0018163B" w:rsidP="0018163B">
      <w:pPr>
        <w:jc w:val="center"/>
        <w:rPr>
          <w:b/>
          <w:sz w:val="28"/>
          <w:szCs w:val="28"/>
        </w:rPr>
      </w:pPr>
      <w:r>
        <w:rPr>
          <w:b/>
          <w:sz w:val="28"/>
          <w:szCs w:val="28"/>
          <w:shd w:val="clear" w:color="auto" w:fill="FFFFFF"/>
        </w:rPr>
        <w:t xml:space="preserve">щодо сум збільшення/зменшення надходжень  ПДФО  (контингент)            станом на 01.07.2017  в порівнянні з </w:t>
      </w:r>
      <w:proofErr w:type="spellStart"/>
      <w:r>
        <w:rPr>
          <w:b/>
          <w:sz w:val="28"/>
          <w:szCs w:val="28"/>
          <w:shd w:val="clear" w:color="auto" w:fill="FFFFFF"/>
        </w:rPr>
        <w:t>в.п.м.р</w:t>
      </w:r>
      <w:proofErr w:type="spellEnd"/>
      <w:r>
        <w:rPr>
          <w:b/>
          <w:sz w:val="28"/>
          <w:szCs w:val="28"/>
          <w:shd w:val="clear" w:color="auto" w:fill="FFFFFF"/>
        </w:rPr>
        <w:t>.</w:t>
      </w:r>
    </w:p>
    <w:p w:rsidR="0018163B" w:rsidRDefault="0018163B" w:rsidP="0018163B">
      <w:pPr>
        <w:autoSpaceDE w:val="0"/>
        <w:autoSpaceDN w:val="0"/>
        <w:adjustRightInd w:val="0"/>
        <w:spacing w:after="120"/>
        <w:ind w:firstLine="567"/>
        <w:jc w:val="both"/>
        <w:rPr>
          <w:kern w:val="2"/>
          <w:sz w:val="28"/>
          <w:szCs w:val="28"/>
        </w:rPr>
      </w:pP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t xml:space="preserve">             </w:t>
      </w:r>
      <w:proofErr w:type="spellStart"/>
      <w:r>
        <w:rPr>
          <w:kern w:val="2"/>
          <w:sz w:val="28"/>
          <w:szCs w:val="28"/>
        </w:rPr>
        <w:t>тис.грн</w:t>
      </w:r>
      <w:proofErr w:type="spellEnd"/>
      <w:r>
        <w:rPr>
          <w:kern w:val="2"/>
          <w:sz w:val="28"/>
          <w:szCs w:val="28"/>
        </w:rPr>
        <w:t>.</w:t>
      </w:r>
    </w:p>
    <w:tbl>
      <w:tblPr>
        <w:tblW w:w="9645" w:type="dxa"/>
        <w:tblInd w:w="5" w:type="dxa"/>
        <w:tblLayout w:type="fixed"/>
        <w:tblCellMar>
          <w:left w:w="0" w:type="dxa"/>
          <w:right w:w="0" w:type="dxa"/>
        </w:tblCellMar>
        <w:tblLook w:val="00A0" w:firstRow="1" w:lastRow="0" w:firstColumn="1" w:lastColumn="0" w:noHBand="0" w:noVBand="0"/>
      </w:tblPr>
      <w:tblGrid>
        <w:gridCol w:w="925"/>
        <w:gridCol w:w="5599"/>
        <w:gridCol w:w="1702"/>
        <w:gridCol w:w="1419"/>
      </w:tblGrid>
      <w:tr w:rsidR="0018163B" w:rsidTr="0018163B">
        <w:trPr>
          <w:trHeight w:val="265"/>
        </w:trPr>
        <w:tc>
          <w:tcPr>
            <w:tcW w:w="925" w:type="dxa"/>
            <w:tcBorders>
              <w:top w:val="single" w:sz="4" w:space="0" w:color="000001"/>
              <w:left w:val="single" w:sz="4" w:space="0" w:color="000001"/>
              <w:bottom w:val="single" w:sz="4" w:space="0" w:color="000001"/>
              <w:right w:val="single" w:sz="4" w:space="0" w:color="000001"/>
            </w:tcBorders>
            <w:vAlign w:val="bottom"/>
            <w:hideMark/>
          </w:tcPr>
          <w:p w:rsidR="0018163B" w:rsidRDefault="0018163B">
            <w:pPr>
              <w:autoSpaceDE w:val="0"/>
              <w:autoSpaceDN w:val="0"/>
              <w:adjustRightInd w:val="0"/>
              <w:spacing w:after="120"/>
              <w:rPr>
                <w:kern w:val="2"/>
                <w:sz w:val="28"/>
                <w:szCs w:val="28"/>
              </w:rPr>
            </w:pPr>
            <w:r>
              <w:rPr>
                <w:kern w:val="2"/>
                <w:sz w:val="28"/>
                <w:szCs w:val="28"/>
              </w:rPr>
              <w:t>№ з/п</w:t>
            </w:r>
          </w:p>
        </w:tc>
        <w:tc>
          <w:tcPr>
            <w:tcW w:w="5599" w:type="dxa"/>
            <w:tcBorders>
              <w:top w:val="single" w:sz="4" w:space="0" w:color="000001"/>
              <w:left w:val="nil"/>
              <w:bottom w:val="single" w:sz="4" w:space="0" w:color="000001"/>
              <w:right w:val="single" w:sz="4" w:space="0" w:color="000001"/>
            </w:tcBorders>
            <w:vAlign w:val="bottom"/>
            <w:hideMark/>
          </w:tcPr>
          <w:p w:rsidR="0018163B" w:rsidRDefault="0018163B">
            <w:pPr>
              <w:autoSpaceDE w:val="0"/>
              <w:autoSpaceDN w:val="0"/>
              <w:adjustRightInd w:val="0"/>
              <w:spacing w:after="120"/>
              <w:ind w:firstLine="567"/>
              <w:jc w:val="both"/>
              <w:rPr>
                <w:kern w:val="2"/>
                <w:sz w:val="28"/>
                <w:szCs w:val="28"/>
              </w:rPr>
            </w:pPr>
            <w:r>
              <w:rPr>
                <w:kern w:val="2"/>
                <w:sz w:val="28"/>
                <w:szCs w:val="28"/>
              </w:rPr>
              <w:t>Назва підприємства</w:t>
            </w:r>
          </w:p>
        </w:tc>
        <w:tc>
          <w:tcPr>
            <w:tcW w:w="1702" w:type="dxa"/>
            <w:tcBorders>
              <w:top w:val="single" w:sz="4" w:space="0" w:color="000001"/>
              <w:left w:val="nil"/>
              <w:bottom w:val="single" w:sz="4" w:space="0" w:color="000001"/>
              <w:right w:val="single" w:sz="4" w:space="0" w:color="000001"/>
            </w:tcBorders>
            <w:vAlign w:val="bottom"/>
            <w:hideMark/>
          </w:tcPr>
          <w:p w:rsidR="0018163B" w:rsidRDefault="0018163B">
            <w:pPr>
              <w:autoSpaceDE w:val="0"/>
              <w:autoSpaceDN w:val="0"/>
              <w:adjustRightInd w:val="0"/>
              <w:spacing w:after="120"/>
              <w:jc w:val="center"/>
              <w:rPr>
                <w:kern w:val="2"/>
                <w:sz w:val="28"/>
                <w:szCs w:val="28"/>
              </w:rPr>
            </w:pPr>
            <w:r>
              <w:rPr>
                <w:kern w:val="2"/>
                <w:sz w:val="28"/>
                <w:szCs w:val="28"/>
              </w:rPr>
              <w:t>Сума (+/-)</w:t>
            </w:r>
          </w:p>
        </w:tc>
        <w:tc>
          <w:tcPr>
            <w:tcW w:w="1419" w:type="dxa"/>
            <w:tcBorders>
              <w:top w:val="single" w:sz="4" w:space="0" w:color="000001"/>
              <w:left w:val="nil"/>
              <w:bottom w:val="single" w:sz="4" w:space="0" w:color="000001"/>
              <w:right w:val="single" w:sz="4" w:space="0" w:color="000001"/>
            </w:tcBorders>
            <w:vAlign w:val="bottom"/>
            <w:hideMark/>
          </w:tcPr>
          <w:p w:rsidR="0018163B" w:rsidRDefault="0018163B">
            <w:pPr>
              <w:autoSpaceDE w:val="0"/>
              <w:autoSpaceDN w:val="0"/>
              <w:adjustRightInd w:val="0"/>
              <w:spacing w:after="120"/>
              <w:jc w:val="center"/>
              <w:rPr>
                <w:kern w:val="2"/>
                <w:sz w:val="28"/>
                <w:szCs w:val="28"/>
              </w:rPr>
            </w:pPr>
            <w:r>
              <w:rPr>
                <w:kern w:val="2"/>
                <w:sz w:val="28"/>
                <w:szCs w:val="28"/>
              </w:rPr>
              <w:t>%</w:t>
            </w:r>
          </w:p>
        </w:tc>
      </w:tr>
      <w:tr w:rsidR="0018163B" w:rsidTr="0018163B">
        <w:trPr>
          <w:trHeight w:val="454"/>
        </w:trPr>
        <w:tc>
          <w:tcPr>
            <w:tcW w:w="925" w:type="dxa"/>
            <w:tcBorders>
              <w:top w:val="nil"/>
              <w:left w:val="single" w:sz="4" w:space="0" w:color="000001"/>
              <w:bottom w:val="single" w:sz="4" w:space="0" w:color="000001"/>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1.</w:t>
            </w:r>
          </w:p>
        </w:tc>
        <w:tc>
          <w:tcPr>
            <w:tcW w:w="5599" w:type="dxa"/>
            <w:tcBorders>
              <w:top w:val="nil"/>
              <w:left w:val="nil"/>
              <w:bottom w:val="single" w:sz="4" w:space="0" w:color="000001"/>
              <w:right w:val="single" w:sz="4" w:space="0" w:color="000001"/>
            </w:tcBorders>
            <w:vAlign w:val="center"/>
            <w:hideMark/>
          </w:tcPr>
          <w:p w:rsidR="0018163B" w:rsidRDefault="00F22E21" w:rsidP="00F22E21">
            <w:pPr>
              <w:autoSpaceDE w:val="0"/>
              <w:autoSpaceDN w:val="0"/>
              <w:adjustRightInd w:val="0"/>
              <w:rPr>
                <w:kern w:val="2"/>
                <w:sz w:val="28"/>
                <w:szCs w:val="28"/>
                <w:lang w:eastAsia="zh-CN" w:bidi="hi-IN"/>
              </w:rPr>
            </w:pPr>
            <w:r>
              <w:rPr>
                <w:kern w:val="2"/>
                <w:sz w:val="28"/>
                <w:szCs w:val="28"/>
                <w:lang w:eastAsia="zh-CN" w:bidi="hi-IN"/>
              </w:rPr>
              <w:t xml:space="preserve"> ПАТ «</w:t>
            </w:r>
            <w:r w:rsidR="0018163B">
              <w:rPr>
                <w:kern w:val="2"/>
                <w:sz w:val="28"/>
                <w:szCs w:val="28"/>
                <w:lang w:eastAsia="zh-CN" w:bidi="hi-IN"/>
              </w:rPr>
              <w:t>КВБЗ</w:t>
            </w:r>
            <w:r>
              <w:rPr>
                <w:kern w:val="2"/>
                <w:sz w:val="28"/>
                <w:szCs w:val="28"/>
                <w:lang w:eastAsia="zh-CN" w:bidi="hi-IN"/>
              </w:rPr>
              <w:t>»</w:t>
            </w:r>
          </w:p>
        </w:tc>
        <w:tc>
          <w:tcPr>
            <w:tcW w:w="1702"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12 204,2</w:t>
            </w:r>
          </w:p>
        </w:tc>
        <w:tc>
          <w:tcPr>
            <w:tcW w:w="1419"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150</w:t>
            </w:r>
          </w:p>
        </w:tc>
      </w:tr>
      <w:tr w:rsidR="0018163B" w:rsidTr="0018163B">
        <w:trPr>
          <w:trHeight w:val="454"/>
        </w:trPr>
        <w:tc>
          <w:tcPr>
            <w:tcW w:w="925" w:type="dxa"/>
            <w:tcBorders>
              <w:top w:val="nil"/>
              <w:left w:val="single" w:sz="4" w:space="0" w:color="000001"/>
              <w:bottom w:val="single" w:sz="4" w:space="0" w:color="000001"/>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2.</w:t>
            </w:r>
          </w:p>
        </w:tc>
        <w:tc>
          <w:tcPr>
            <w:tcW w:w="5599" w:type="dxa"/>
            <w:tcBorders>
              <w:top w:val="nil"/>
              <w:left w:val="nil"/>
              <w:bottom w:val="single" w:sz="4" w:space="0" w:color="000001"/>
              <w:right w:val="single" w:sz="4" w:space="0" w:color="000001"/>
            </w:tcBorders>
            <w:vAlign w:val="center"/>
            <w:hideMark/>
          </w:tcPr>
          <w:p w:rsidR="0018163B" w:rsidRDefault="00F22E21" w:rsidP="00F22E21">
            <w:pPr>
              <w:rPr>
                <w:sz w:val="28"/>
                <w:szCs w:val="28"/>
              </w:rPr>
            </w:pPr>
            <w:r>
              <w:rPr>
                <w:sz w:val="28"/>
                <w:szCs w:val="28"/>
              </w:rPr>
              <w:t xml:space="preserve"> ПАТ «</w:t>
            </w:r>
            <w:r w:rsidR="0018163B">
              <w:rPr>
                <w:sz w:val="28"/>
                <w:szCs w:val="28"/>
              </w:rPr>
              <w:t>КСЗ</w:t>
            </w:r>
            <w:r>
              <w:rPr>
                <w:sz w:val="28"/>
                <w:szCs w:val="28"/>
              </w:rPr>
              <w:t>»</w:t>
            </w:r>
          </w:p>
        </w:tc>
        <w:tc>
          <w:tcPr>
            <w:tcW w:w="1702"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9 623,6</w:t>
            </w:r>
          </w:p>
        </w:tc>
        <w:tc>
          <w:tcPr>
            <w:tcW w:w="1419"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370</w:t>
            </w:r>
          </w:p>
        </w:tc>
      </w:tr>
      <w:tr w:rsidR="0018163B" w:rsidTr="0018163B">
        <w:trPr>
          <w:trHeight w:val="454"/>
        </w:trPr>
        <w:tc>
          <w:tcPr>
            <w:tcW w:w="925" w:type="dxa"/>
            <w:tcBorders>
              <w:top w:val="nil"/>
              <w:left w:val="single" w:sz="4" w:space="0" w:color="000001"/>
              <w:bottom w:val="single" w:sz="4" w:space="0" w:color="000001"/>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3.</w:t>
            </w:r>
          </w:p>
        </w:tc>
        <w:tc>
          <w:tcPr>
            <w:tcW w:w="5599" w:type="dxa"/>
            <w:tcBorders>
              <w:top w:val="nil"/>
              <w:left w:val="nil"/>
              <w:bottom w:val="single" w:sz="4" w:space="0" w:color="000001"/>
              <w:right w:val="single" w:sz="4" w:space="0" w:color="000001"/>
            </w:tcBorders>
            <w:vAlign w:val="center"/>
            <w:hideMark/>
          </w:tcPr>
          <w:p w:rsidR="0018163B" w:rsidRDefault="00F22E21" w:rsidP="00F22E21">
            <w:pPr>
              <w:autoSpaceDE w:val="0"/>
              <w:autoSpaceDN w:val="0"/>
              <w:adjustRightInd w:val="0"/>
              <w:rPr>
                <w:kern w:val="2"/>
                <w:sz w:val="28"/>
                <w:szCs w:val="28"/>
                <w:lang w:eastAsia="zh-CN" w:bidi="hi-IN"/>
              </w:rPr>
            </w:pPr>
            <w:r>
              <w:rPr>
                <w:kern w:val="2"/>
                <w:sz w:val="28"/>
                <w:szCs w:val="28"/>
                <w:lang w:eastAsia="zh-CN" w:bidi="hi-IN"/>
              </w:rPr>
              <w:t xml:space="preserve"> ПАТ «</w:t>
            </w:r>
            <w:proofErr w:type="spellStart"/>
            <w:r w:rsidR="0018163B">
              <w:rPr>
                <w:kern w:val="2"/>
                <w:sz w:val="28"/>
                <w:szCs w:val="28"/>
                <w:lang w:eastAsia="zh-CN" w:bidi="hi-IN"/>
              </w:rPr>
              <w:t>Кредмаш</w:t>
            </w:r>
            <w:proofErr w:type="spellEnd"/>
            <w:r>
              <w:rPr>
                <w:kern w:val="2"/>
                <w:sz w:val="28"/>
                <w:szCs w:val="28"/>
                <w:lang w:eastAsia="zh-CN" w:bidi="hi-IN"/>
              </w:rPr>
              <w:t>»</w:t>
            </w:r>
          </w:p>
        </w:tc>
        <w:tc>
          <w:tcPr>
            <w:tcW w:w="1702"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8 289,4</w:t>
            </w:r>
          </w:p>
        </w:tc>
        <w:tc>
          <w:tcPr>
            <w:tcW w:w="1419"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180</w:t>
            </w:r>
          </w:p>
        </w:tc>
      </w:tr>
      <w:tr w:rsidR="0018163B" w:rsidTr="00F5482C">
        <w:trPr>
          <w:trHeight w:val="454"/>
        </w:trPr>
        <w:tc>
          <w:tcPr>
            <w:tcW w:w="925" w:type="dxa"/>
            <w:tcBorders>
              <w:top w:val="nil"/>
              <w:left w:val="single" w:sz="4" w:space="0" w:color="000001"/>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4.</w:t>
            </w:r>
          </w:p>
        </w:tc>
        <w:tc>
          <w:tcPr>
            <w:tcW w:w="5599" w:type="dxa"/>
            <w:tcBorders>
              <w:top w:val="nil"/>
              <w:left w:val="nil"/>
              <w:right w:val="single" w:sz="4" w:space="0" w:color="000001"/>
            </w:tcBorders>
            <w:vAlign w:val="center"/>
            <w:hideMark/>
          </w:tcPr>
          <w:p w:rsidR="0018163B" w:rsidRDefault="0018163B" w:rsidP="00F22E21">
            <w:pPr>
              <w:autoSpaceDE w:val="0"/>
              <w:autoSpaceDN w:val="0"/>
              <w:adjustRightInd w:val="0"/>
              <w:ind w:left="209" w:hanging="209"/>
              <w:rPr>
                <w:kern w:val="2"/>
                <w:sz w:val="28"/>
                <w:szCs w:val="28"/>
              </w:rPr>
            </w:pPr>
            <w:r>
              <w:rPr>
                <w:sz w:val="28"/>
                <w:szCs w:val="28"/>
              </w:rPr>
              <w:t xml:space="preserve"> ПАТ </w:t>
            </w:r>
            <w:r w:rsidR="00F22E21">
              <w:rPr>
                <w:sz w:val="28"/>
                <w:szCs w:val="28"/>
              </w:rPr>
              <w:t>«</w:t>
            </w:r>
            <w:r>
              <w:rPr>
                <w:sz w:val="28"/>
                <w:szCs w:val="28"/>
              </w:rPr>
              <w:t>АвтоКрАЗ</w:t>
            </w:r>
            <w:r w:rsidR="00F22E21">
              <w:rPr>
                <w:sz w:val="28"/>
                <w:szCs w:val="28"/>
              </w:rPr>
              <w:t>»</w:t>
            </w:r>
          </w:p>
        </w:tc>
        <w:tc>
          <w:tcPr>
            <w:tcW w:w="1702" w:type="dxa"/>
            <w:tcBorders>
              <w:top w:val="nil"/>
              <w:left w:val="nil"/>
              <w:right w:val="single" w:sz="4" w:space="0" w:color="000001"/>
            </w:tcBorders>
            <w:vAlign w:val="bottom"/>
            <w:hideMark/>
          </w:tcPr>
          <w:p w:rsidR="0018163B" w:rsidRDefault="0018163B">
            <w:pPr>
              <w:jc w:val="center"/>
              <w:rPr>
                <w:sz w:val="28"/>
                <w:szCs w:val="28"/>
              </w:rPr>
            </w:pPr>
            <w:r>
              <w:rPr>
                <w:sz w:val="28"/>
                <w:szCs w:val="28"/>
              </w:rPr>
              <w:t>3 544,1</w:t>
            </w:r>
          </w:p>
        </w:tc>
        <w:tc>
          <w:tcPr>
            <w:tcW w:w="1419" w:type="dxa"/>
            <w:tcBorders>
              <w:top w:val="nil"/>
              <w:left w:val="nil"/>
              <w:right w:val="single" w:sz="4" w:space="0" w:color="000001"/>
            </w:tcBorders>
            <w:vAlign w:val="bottom"/>
            <w:hideMark/>
          </w:tcPr>
          <w:p w:rsidR="0018163B" w:rsidRDefault="0018163B">
            <w:pPr>
              <w:jc w:val="center"/>
              <w:rPr>
                <w:sz w:val="28"/>
                <w:szCs w:val="28"/>
              </w:rPr>
            </w:pPr>
            <w:r>
              <w:rPr>
                <w:sz w:val="28"/>
                <w:szCs w:val="28"/>
              </w:rPr>
              <w:t xml:space="preserve"> 31,7</w:t>
            </w:r>
          </w:p>
        </w:tc>
      </w:tr>
      <w:tr w:rsidR="0018163B" w:rsidTr="0018163B">
        <w:trPr>
          <w:trHeight w:val="454"/>
        </w:trPr>
        <w:tc>
          <w:tcPr>
            <w:tcW w:w="925" w:type="dxa"/>
            <w:tcBorders>
              <w:top w:val="nil"/>
              <w:left w:val="single" w:sz="4" w:space="0" w:color="000001"/>
              <w:bottom w:val="single" w:sz="4" w:space="0" w:color="000001"/>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lastRenderedPageBreak/>
              <w:t>5.</w:t>
            </w:r>
          </w:p>
        </w:tc>
        <w:tc>
          <w:tcPr>
            <w:tcW w:w="5599" w:type="dxa"/>
            <w:tcBorders>
              <w:top w:val="nil"/>
              <w:left w:val="nil"/>
              <w:bottom w:val="single" w:sz="4" w:space="0" w:color="000001"/>
              <w:right w:val="single" w:sz="4" w:space="0" w:color="000001"/>
            </w:tcBorders>
            <w:vAlign w:val="center"/>
            <w:hideMark/>
          </w:tcPr>
          <w:p w:rsidR="0018163B" w:rsidRDefault="00F22E21" w:rsidP="00F22E21">
            <w:pPr>
              <w:autoSpaceDE w:val="0"/>
              <w:autoSpaceDN w:val="0"/>
              <w:adjustRightInd w:val="0"/>
              <w:rPr>
                <w:kern w:val="2"/>
                <w:sz w:val="28"/>
                <w:szCs w:val="28"/>
                <w:lang w:eastAsia="zh-CN" w:bidi="hi-IN"/>
              </w:rPr>
            </w:pPr>
            <w:r>
              <w:rPr>
                <w:sz w:val="28"/>
                <w:szCs w:val="28"/>
              </w:rPr>
              <w:t xml:space="preserve"> ПАТ «</w:t>
            </w:r>
            <w:r w:rsidR="0018163B">
              <w:rPr>
                <w:sz w:val="28"/>
                <w:szCs w:val="28"/>
              </w:rPr>
              <w:t>Укртатнафта</w:t>
            </w:r>
            <w:r>
              <w:rPr>
                <w:sz w:val="28"/>
                <w:szCs w:val="28"/>
              </w:rPr>
              <w:t>»</w:t>
            </w:r>
          </w:p>
        </w:tc>
        <w:tc>
          <w:tcPr>
            <w:tcW w:w="1702"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3 224,0</w:t>
            </w:r>
          </w:p>
        </w:tc>
        <w:tc>
          <w:tcPr>
            <w:tcW w:w="1419"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7,1</w:t>
            </w:r>
          </w:p>
        </w:tc>
      </w:tr>
      <w:tr w:rsidR="0018163B" w:rsidTr="0018163B">
        <w:trPr>
          <w:trHeight w:val="454"/>
        </w:trPr>
        <w:tc>
          <w:tcPr>
            <w:tcW w:w="925" w:type="dxa"/>
            <w:tcBorders>
              <w:top w:val="nil"/>
              <w:left w:val="single" w:sz="4" w:space="0" w:color="000001"/>
              <w:bottom w:val="single" w:sz="4" w:space="0" w:color="000001"/>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6.</w:t>
            </w:r>
          </w:p>
        </w:tc>
        <w:tc>
          <w:tcPr>
            <w:tcW w:w="5599" w:type="dxa"/>
            <w:tcBorders>
              <w:top w:val="nil"/>
              <w:left w:val="nil"/>
              <w:bottom w:val="single" w:sz="4" w:space="0" w:color="000001"/>
              <w:right w:val="single" w:sz="4" w:space="0" w:color="000001"/>
            </w:tcBorders>
            <w:vAlign w:val="center"/>
            <w:hideMark/>
          </w:tcPr>
          <w:p w:rsidR="0018163B" w:rsidRDefault="00F22E21" w:rsidP="00F22E21">
            <w:pPr>
              <w:autoSpaceDE w:val="0"/>
              <w:autoSpaceDN w:val="0"/>
              <w:adjustRightInd w:val="0"/>
              <w:rPr>
                <w:kern w:val="2"/>
                <w:sz w:val="28"/>
                <w:szCs w:val="28"/>
                <w:lang w:eastAsia="zh-CN" w:bidi="hi-IN"/>
              </w:rPr>
            </w:pPr>
            <w:r>
              <w:rPr>
                <w:sz w:val="28"/>
                <w:szCs w:val="28"/>
              </w:rPr>
              <w:t xml:space="preserve"> ПАТ «</w:t>
            </w:r>
            <w:r w:rsidR="0018163B">
              <w:rPr>
                <w:sz w:val="28"/>
                <w:szCs w:val="28"/>
              </w:rPr>
              <w:t xml:space="preserve">Джей Ті Інтернешнл </w:t>
            </w:r>
            <w:r>
              <w:rPr>
                <w:sz w:val="28"/>
                <w:szCs w:val="28"/>
              </w:rPr>
              <w:t>Україна»</w:t>
            </w:r>
          </w:p>
        </w:tc>
        <w:tc>
          <w:tcPr>
            <w:tcW w:w="1702"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2 783,4</w:t>
            </w:r>
          </w:p>
        </w:tc>
        <w:tc>
          <w:tcPr>
            <w:tcW w:w="1419" w:type="dxa"/>
            <w:tcBorders>
              <w:top w:val="nil"/>
              <w:left w:val="nil"/>
              <w:bottom w:val="single" w:sz="4" w:space="0" w:color="000001"/>
              <w:right w:val="single" w:sz="4" w:space="0" w:color="000001"/>
            </w:tcBorders>
            <w:vAlign w:val="bottom"/>
            <w:hideMark/>
          </w:tcPr>
          <w:p w:rsidR="0018163B" w:rsidRDefault="0018163B">
            <w:pPr>
              <w:jc w:val="center"/>
              <w:rPr>
                <w:sz w:val="28"/>
                <w:szCs w:val="28"/>
              </w:rPr>
            </w:pPr>
            <w:r>
              <w:rPr>
                <w:sz w:val="28"/>
                <w:szCs w:val="28"/>
              </w:rPr>
              <w:t>20,7</w:t>
            </w:r>
          </w:p>
        </w:tc>
      </w:tr>
      <w:tr w:rsidR="0018163B" w:rsidTr="0018163B">
        <w:trPr>
          <w:trHeight w:val="454"/>
        </w:trPr>
        <w:tc>
          <w:tcPr>
            <w:tcW w:w="925" w:type="dxa"/>
            <w:tcBorders>
              <w:top w:val="nil"/>
              <w:left w:val="single" w:sz="4" w:space="0" w:color="000001"/>
              <w:bottom w:val="single" w:sz="4" w:space="0" w:color="auto"/>
              <w:right w:val="single" w:sz="4" w:space="0" w:color="000001"/>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7.</w:t>
            </w:r>
          </w:p>
        </w:tc>
        <w:tc>
          <w:tcPr>
            <w:tcW w:w="5599" w:type="dxa"/>
            <w:tcBorders>
              <w:top w:val="nil"/>
              <w:left w:val="nil"/>
              <w:bottom w:val="single" w:sz="4" w:space="0" w:color="auto"/>
              <w:right w:val="single" w:sz="4" w:space="0" w:color="000001"/>
            </w:tcBorders>
            <w:vAlign w:val="center"/>
            <w:hideMark/>
          </w:tcPr>
          <w:p w:rsidR="0018163B" w:rsidRDefault="00F22E21" w:rsidP="00F22E21">
            <w:pPr>
              <w:autoSpaceDE w:val="0"/>
              <w:autoSpaceDN w:val="0"/>
              <w:adjustRightInd w:val="0"/>
              <w:rPr>
                <w:kern w:val="2"/>
                <w:sz w:val="28"/>
                <w:szCs w:val="28"/>
                <w:lang w:eastAsia="zh-CN" w:bidi="hi-IN"/>
              </w:rPr>
            </w:pPr>
            <w:r>
              <w:rPr>
                <w:sz w:val="28"/>
                <w:szCs w:val="28"/>
              </w:rPr>
              <w:t xml:space="preserve"> ПАТ «</w:t>
            </w:r>
            <w:proofErr w:type="spellStart"/>
            <w:r w:rsidR="0018163B">
              <w:rPr>
                <w:sz w:val="28"/>
                <w:szCs w:val="28"/>
              </w:rPr>
              <w:t>КрКЗ</w:t>
            </w:r>
            <w:proofErr w:type="spellEnd"/>
            <w:r>
              <w:rPr>
                <w:sz w:val="28"/>
                <w:szCs w:val="28"/>
              </w:rPr>
              <w:t>»</w:t>
            </w:r>
          </w:p>
        </w:tc>
        <w:tc>
          <w:tcPr>
            <w:tcW w:w="1702" w:type="dxa"/>
            <w:tcBorders>
              <w:top w:val="nil"/>
              <w:left w:val="nil"/>
              <w:bottom w:val="single" w:sz="4" w:space="0" w:color="auto"/>
              <w:right w:val="single" w:sz="4" w:space="0" w:color="000001"/>
            </w:tcBorders>
            <w:vAlign w:val="bottom"/>
            <w:hideMark/>
          </w:tcPr>
          <w:p w:rsidR="0018163B" w:rsidRDefault="0018163B">
            <w:pPr>
              <w:jc w:val="center"/>
              <w:rPr>
                <w:sz w:val="28"/>
                <w:szCs w:val="28"/>
              </w:rPr>
            </w:pPr>
            <w:r>
              <w:rPr>
                <w:sz w:val="28"/>
                <w:szCs w:val="28"/>
              </w:rPr>
              <w:t>1 462,2</w:t>
            </w:r>
          </w:p>
        </w:tc>
        <w:tc>
          <w:tcPr>
            <w:tcW w:w="1419" w:type="dxa"/>
            <w:tcBorders>
              <w:top w:val="nil"/>
              <w:left w:val="nil"/>
              <w:bottom w:val="single" w:sz="4" w:space="0" w:color="auto"/>
              <w:right w:val="single" w:sz="4" w:space="0" w:color="000001"/>
            </w:tcBorders>
            <w:vAlign w:val="bottom"/>
            <w:hideMark/>
          </w:tcPr>
          <w:p w:rsidR="0018163B" w:rsidRDefault="0018163B">
            <w:pPr>
              <w:jc w:val="center"/>
              <w:rPr>
                <w:sz w:val="28"/>
                <w:szCs w:val="28"/>
              </w:rPr>
            </w:pPr>
            <w:r>
              <w:rPr>
                <w:sz w:val="28"/>
                <w:szCs w:val="28"/>
              </w:rPr>
              <w:t>19,1</w:t>
            </w:r>
          </w:p>
        </w:tc>
      </w:tr>
      <w:tr w:rsidR="0018163B" w:rsidTr="0018163B">
        <w:trPr>
          <w:trHeight w:val="454"/>
        </w:trPr>
        <w:tc>
          <w:tcPr>
            <w:tcW w:w="925" w:type="dxa"/>
            <w:tcBorders>
              <w:top w:val="single" w:sz="4" w:space="0" w:color="auto"/>
              <w:left w:val="single" w:sz="4" w:space="0" w:color="auto"/>
              <w:bottom w:val="single" w:sz="4" w:space="0" w:color="auto"/>
              <w:right w:val="single" w:sz="4" w:space="0" w:color="auto"/>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8.</w:t>
            </w:r>
          </w:p>
        </w:tc>
        <w:tc>
          <w:tcPr>
            <w:tcW w:w="5599" w:type="dxa"/>
            <w:tcBorders>
              <w:top w:val="single" w:sz="4" w:space="0" w:color="auto"/>
              <w:left w:val="single" w:sz="4" w:space="0" w:color="auto"/>
              <w:bottom w:val="single" w:sz="4" w:space="0" w:color="auto"/>
              <w:right w:val="single" w:sz="4" w:space="0" w:color="auto"/>
            </w:tcBorders>
            <w:vAlign w:val="center"/>
            <w:hideMark/>
          </w:tcPr>
          <w:p w:rsidR="0018163B" w:rsidRDefault="00F22E21" w:rsidP="00F22E21">
            <w:pPr>
              <w:autoSpaceDE w:val="0"/>
              <w:autoSpaceDN w:val="0"/>
              <w:adjustRightInd w:val="0"/>
              <w:rPr>
                <w:kern w:val="2"/>
                <w:sz w:val="28"/>
                <w:szCs w:val="28"/>
                <w:lang w:eastAsia="zh-CN" w:bidi="hi-IN"/>
              </w:rPr>
            </w:pPr>
            <w:r>
              <w:rPr>
                <w:sz w:val="28"/>
                <w:szCs w:val="28"/>
              </w:rPr>
              <w:t xml:space="preserve"> ПАТ «</w:t>
            </w:r>
            <w:r w:rsidR="0018163B">
              <w:rPr>
                <w:sz w:val="28"/>
                <w:szCs w:val="28"/>
              </w:rPr>
              <w:t>КЗТВ</w:t>
            </w:r>
            <w:r>
              <w:rPr>
                <w:sz w:val="28"/>
                <w:szCs w:val="28"/>
              </w:rPr>
              <w:t>»</w:t>
            </w:r>
          </w:p>
        </w:tc>
        <w:tc>
          <w:tcPr>
            <w:tcW w:w="1702" w:type="dxa"/>
            <w:tcBorders>
              <w:top w:val="single" w:sz="4" w:space="0" w:color="auto"/>
              <w:left w:val="single" w:sz="4" w:space="0" w:color="auto"/>
              <w:bottom w:val="single" w:sz="4" w:space="0" w:color="auto"/>
              <w:right w:val="single" w:sz="4" w:space="0" w:color="auto"/>
            </w:tcBorders>
            <w:vAlign w:val="bottom"/>
            <w:hideMark/>
          </w:tcPr>
          <w:p w:rsidR="0018163B" w:rsidRDefault="0018163B">
            <w:pPr>
              <w:jc w:val="center"/>
              <w:rPr>
                <w:sz w:val="28"/>
                <w:szCs w:val="28"/>
              </w:rPr>
            </w:pPr>
            <w:r>
              <w:rPr>
                <w:sz w:val="28"/>
                <w:szCs w:val="28"/>
              </w:rPr>
              <w:t>1 443,8</w:t>
            </w:r>
          </w:p>
        </w:tc>
        <w:tc>
          <w:tcPr>
            <w:tcW w:w="1419" w:type="dxa"/>
            <w:tcBorders>
              <w:top w:val="single" w:sz="4" w:space="0" w:color="auto"/>
              <w:left w:val="single" w:sz="4" w:space="0" w:color="auto"/>
              <w:bottom w:val="single" w:sz="4" w:space="0" w:color="auto"/>
              <w:right w:val="single" w:sz="4" w:space="0" w:color="auto"/>
            </w:tcBorders>
            <w:vAlign w:val="bottom"/>
            <w:hideMark/>
          </w:tcPr>
          <w:p w:rsidR="0018163B" w:rsidRDefault="0018163B">
            <w:pPr>
              <w:jc w:val="center"/>
              <w:rPr>
                <w:sz w:val="28"/>
                <w:szCs w:val="28"/>
              </w:rPr>
            </w:pPr>
            <w:r>
              <w:rPr>
                <w:sz w:val="28"/>
                <w:szCs w:val="28"/>
              </w:rPr>
              <w:t>30,0</w:t>
            </w:r>
          </w:p>
        </w:tc>
      </w:tr>
      <w:tr w:rsidR="0018163B" w:rsidTr="0018163B">
        <w:trPr>
          <w:trHeight w:val="454"/>
        </w:trPr>
        <w:tc>
          <w:tcPr>
            <w:tcW w:w="925" w:type="dxa"/>
            <w:tcBorders>
              <w:top w:val="single" w:sz="4" w:space="0" w:color="auto"/>
              <w:left w:val="single" w:sz="4" w:space="0" w:color="auto"/>
              <w:bottom w:val="single" w:sz="4" w:space="0" w:color="auto"/>
              <w:right w:val="single" w:sz="4" w:space="0" w:color="auto"/>
            </w:tcBorders>
            <w:vAlign w:val="center"/>
            <w:hideMark/>
          </w:tcPr>
          <w:p w:rsidR="0018163B" w:rsidRDefault="0018163B">
            <w:pPr>
              <w:autoSpaceDE w:val="0"/>
              <w:autoSpaceDN w:val="0"/>
              <w:adjustRightInd w:val="0"/>
              <w:jc w:val="center"/>
              <w:rPr>
                <w:kern w:val="2"/>
                <w:sz w:val="28"/>
                <w:szCs w:val="28"/>
                <w:lang w:eastAsia="zh-CN" w:bidi="hi-IN"/>
              </w:rPr>
            </w:pPr>
            <w:r>
              <w:rPr>
                <w:kern w:val="2"/>
                <w:sz w:val="28"/>
                <w:szCs w:val="28"/>
                <w:lang w:eastAsia="zh-CN" w:bidi="hi-IN"/>
              </w:rPr>
              <w:t>9.</w:t>
            </w:r>
          </w:p>
        </w:tc>
        <w:tc>
          <w:tcPr>
            <w:tcW w:w="5599" w:type="dxa"/>
            <w:tcBorders>
              <w:top w:val="single" w:sz="4" w:space="0" w:color="auto"/>
              <w:left w:val="single" w:sz="4" w:space="0" w:color="auto"/>
              <w:bottom w:val="single" w:sz="4" w:space="0" w:color="auto"/>
              <w:right w:val="single" w:sz="4" w:space="0" w:color="auto"/>
            </w:tcBorders>
            <w:vAlign w:val="center"/>
            <w:hideMark/>
          </w:tcPr>
          <w:p w:rsidR="0018163B" w:rsidRDefault="00F22E21" w:rsidP="00F22E21">
            <w:pPr>
              <w:autoSpaceDE w:val="0"/>
              <w:autoSpaceDN w:val="0"/>
              <w:adjustRightInd w:val="0"/>
              <w:rPr>
                <w:kern w:val="2"/>
                <w:sz w:val="28"/>
                <w:szCs w:val="28"/>
                <w:lang w:eastAsia="zh-CN" w:bidi="hi-IN"/>
              </w:rPr>
            </w:pPr>
            <w:r>
              <w:rPr>
                <w:sz w:val="28"/>
                <w:szCs w:val="28"/>
              </w:rPr>
              <w:t xml:space="preserve"> ПАТ ККФ «</w:t>
            </w:r>
            <w:r w:rsidR="0018163B">
              <w:rPr>
                <w:sz w:val="28"/>
                <w:szCs w:val="28"/>
              </w:rPr>
              <w:t>Рошен</w:t>
            </w:r>
            <w:r>
              <w:rPr>
                <w:sz w:val="28"/>
                <w:szCs w:val="28"/>
              </w:rPr>
              <w:t>»</w:t>
            </w:r>
          </w:p>
        </w:tc>
        <w:tc>
          <w:tcPr>
            <w:tcW w:w="1702" w:type="dxa"/>
            <w:tcBorders>
              <w:top w:val="single" w:sz="4" w:space="0" w:color="auto"/>
              <w:left w:val="single" w:sz="4" w:space="0" w:color="auto"/>
              <w:bottom w:val="single" w:sz="4" w:space="0" w:color="auto"/>
              <w:right w:val="single" w:sz="4" w:space="0" w:color="auto"/>
            </w:tcBorders>
            <w:vAlign w:val="bottom"/>
            <w:hideMark/>
          </w:tcPr>
          <w:p w:rsidR="0018163B" w:rsidRDefault="0018163B">
            <w:pPr>
              <w:jc w:val="center"/>
              <w:rPr>
                <w:sz w:val="28"/>
                <w:szCs w:val="28"/>
              </w:rPr>
            </w:pPr>
            <w:r>
              <w:rPr>
                <w:sz w:val="28"/>
                <w:szCs w:val="28"/>
              </w:rPr>
              <w:t>643,0</w:t>
            </w:r>
          </w:p>
        </w:tc>
        <w:tc>
          <w:tcPr>
            <w:tcW w:w="1419" w:type="dxa"/>
            <w:tcBorders>
              <w:top w:val="single" w:sz="4" w:space="0" w:color="auto"/>
              <w:left w:val="single" w:sz="4" w:space="0" w:color="auto"/>
              <w:bottom w:val="single" w:sz="4" w:space="0" w:color="auto"/>
              <w:right w:val="single" w:sz="4" w:space="0" w:color="auto"/>
            </w:tcBorders>
            <w:vAlign w:val="bottom"/>
            <w:hideMark/>
          </w:tcPr>
          <w:p w:rsidR="0018163B" w:rsidRDefault="0018163B">
            <w:pPr>
              <w:jc w:val="center"/>
              <w:rPr>
                <w:sz w:val="28"/>
                <w:szCs w:val="28"/>
              </w:rPr>
            </w:pPr>
            <w:r>
              <w:rPr>
                <w:sz w:val="28"/>
                <w:szCs w:val="28"/>
              </w:rPr>
              <w:t>11,2</w:t>
            </w:r>
          </w:p>
        </w:tc>
      </w:tr>
    </w:tbl>
    <w:p w:rsidR="0018163B" w:rsidRDefault="0018163B" w:rsidP="0018163B">
      <w:pPr>
        <w:tabs>
          <w:tab w:val="left" w:pos="2895"/>
          <w:tab w:val="left" w:pos="5655"/>
          <w:tab w:val="left" w:pos="8460"/>
        </w:tabs>
        <w:ind w:firstLine="709"/>
        <w:jc w:val="both"/>
        <w:rPr>
          <w:sz w:val="28"/>
          <w:szCs w:val="28"/>
        </w:rPr>
      </w:pPr>
      <w:r>
        <w:rPr>
          <w:sz w:val="28"/>
          <w:szCs w:val="28"/>
        </w:rPr>
        <w:t xml:space="preserve">В  порівнянні з </w:t>
      </w:r>
      <w:proofErr w:type="spellStart"/>
      <w:r>
        <w:rPr>
          <w:sz w:val="28"/>
          <w:szCs w:val="28"/>
        </w:rPr>
        <w:t>в.п.м.р</w:t>
      </w:r>
      <w:proofErr w:type="spellEnd"/>
      <w:r>
        <w:rPr>
          <w:sz w:val="28"/>
          <w:szCs w:val="28"/>
        </w:rPr>
        <w:t>. надходження до загального фонду зросли на 32,7% або /+/ 124 168,818 тис.</w:t>
      </w:r>
      <w:r w:rsidR="00F22E21">
        <w:rPr>
          <w:sz w:val="28"/>
          <w:szCs w:val="28"/>
        </w:rPr>
        <w:t xml:space="preserve"> </w:t>
      </w:r>
      <w:r>
        <w:rPr>
          <w:sz w:val="28"/>
          <w:szCs w:val="28"/>
        </w:rPr>
        <w:t xml:space="preserve">грн., в тому числі по: </w:t>
      </w:r>
      <w:proofErr w:type="spellStart"/>
      <w:r>
        <w:rPr>
          <w:sz w:val="28"/>
          <w:szCs w:val="28"/>
        </w:rPr>
        <w:t>пдфо</w:t>
      </w:r>
      <w:proofErr w:type="spellEnd"/>
      <w:r>
        <w:rPr>
          <w:sz w:val="28"/>
          <w:szCs w:val="28"/>
        </w:rPr>
        <w:t xml:space="preserve"> на 40,8% або                    /+/ 90 437,668 тис.</w:t>
      </w:r>
      <w:r w:rsidR="00F22E21">
        <w:rPr>
          <w:sz w:val="28"/>
          <w:szCs w:val="28"/>
        </w:rPr>
        <w:t xml:space="preserve"> </w:t>
      </w:r>
      <w:r>
        <w:rPr>
          <w:sz w:val="28"/>
          <w:szCs w:val="28"/>
        </w:rPr>
        <w:t>грн., єдиному податку на 44,5%  /+/ 13 143,206 тис.</w:t>
      </w:r>
      <w:r w:rsidR="00F22E21">
        <w:rPr>
          <w:sz w:val="28"/>
          <w:szCs w:val="28"/>
        </w:rPr>
        <w:t xml:space="preserve"> </w:t>
      </w:r>
      <w:r>
        <w:rPr>
          <w:sz w:val="28"/>
          <w:szCs w:val="28"/>
        </w:rPr>
        <w:t>грн.(по єдиному податку з юридичних осіб на 4,9% /+/355,838 тис.</w:t>
      </w:r>
      <w:r w:rsidR="00F22E21">
        <w:rPr>
          <w:sz w:val="28"/>
          <w:szCs w:val="28"/>
        </w:rPr>
        <w:t xml:space="preserve"> </w:t>
      </w:r>
      <w:r>
        <w:rPr>
          <w:sz w:val="28"/>
          <w:szCs w:val="28"/>
        </w:rPr>
        <w:t>грн. та по єдиному  податку  з фізичних осіб на 57,2% /+/ 12 787,891 тис.</w:t>
      </w:r>
      <w:r w:rsidR="00F22E21">
        <w:rPr>
          <w:sz w:val="28"/>
          <w:szCs w:val="28"/>
        </w:rPr>
        <w:t xml:space="preserve"> </w:t>
      </w:r>
      <w:r>
        <w:rPr>
          <w:sz w:val="28"/>
          <w:szCs w:val="28"/>
        </w:rPr>
        <w:t>грн.), податку на майно в частині  земельного податку  на 18,6 % або  /+/ 12 610,172 тис.</w:t>
      </w:r>
      <w:r w:rsidR="00F22E21">
        <w:rPr>
          <w:sz w:val="28"/>
          <w:szCs w:val="28"/>
        </w:rPr>
        <w:t xml:space="preserve"> </w:t>
      </w:r>
      <w:r>
        <w:rPr>
          <w:sz w:val="28"/>
          <w:szCs w:val="28"/>
        </w:rPr>
        <w:t>грн., акцизному   податку  на 9,9%  /+/ 4 652,179 тис.</w:t>
      </w:r>
      <w:r w:rsidR="00F22E21">
        <w:rPr>
          <w:sz w:val="28"/>
          <w:szCs w:val="28"/>
        </w:rPr>
        <w:t xml:space="preserve"> </w:t>
      </w:r>
      <w:r>
        <w:rPr>
          <w:sz w:val="28"/>
          <w:szCs w:val="28"/>
        </w:rPr>
        <w:t>грн. та ін.</w:t>
      </w:r>
    </w:p>
    <w:p w:rsidR="0018163B" w:rsidRDefault="0018163B" w:rsidP="0018163B">
      <w:pPr>
        <w:tabs>
          <w:tab w:val="left" w:pos="2895"/>
          <w:tab w:val="left" w:pos="5655"/>
          <w:tab w:val="left" w:pos="8460"/>
        </w:tabs>
        <w:ind w:firstLine="709"/>
        <w:jc w:val="both"/>
        <w:rPr>
          <w:snapToGrid w:val="0"/>
          <w:color w:val="FF0000"/>
          <w:sz w:val="28"/>
          <w:szCs w:val="28"/>
        </w:rPr>
      </w:pPr>
    </w:p>
    <w:p w:rsidR="0018163B" w:rsidRPr="00F22E21" w:rsidRDefault="0018163B" w:rsidP="0018163B">
      <w:pPr>
        <w:ind w:firstLine="709"/>
        <w:jc w:val="right"/>
        <w:rPr>
          <w:sz w:val="28"/>
          <w:szCs w:val="28"/>
        </w:rPr>
      </w:pPr>
      <w:proofErr w:type="spellStart"/>
      <w:r w:rsidRPr="00F22E21">
        <w:rPr>
          <w:sz w:val="28"/>
          <w:szCs w:val="28"/>
        </w:rPr>
        <w:t>тис.грн</w:t>
      </w:r>
      <w:proofErr w:type="spellEnd"/>
      <w:r w:rsidRPr="00F22E21">
        <w:rPr>
          <w:sz w:val="28"/>
          <w:szCs w:val="28"/>
        </w:rPr>
        <w:t>.</w:t>
      </w:r>
    </w:p>
    <w:p w:rsidR="0018163B" w:rsidRDefault="00765E50" w:rsidP="0018163B">
      <w:pPr>
        <w:pBdr>
          <w:top w:val="single" w:sz="4" w:space="1" w:color="auto"/>
          <w:left w:val="single" w:sz="4" w:space="4" w:color="auto"/>
          <w:bottom w:val="single" w:sz="4" w:space="1" w:color="auto"/>
          <w:right w:val="single" w:sz="4" w:space="4" w:color="auto"/>
        </w:pBdr>
        <w:jc w:val="right"/>
        <w:rPr>
          <w:b/>
          <w:color w:val="FF0000"/>
          <w:sz w:val="28"/>
          <w:szCs w:val="28"/>
        </w:rPr>
      </w:pPr>
      <w:r w:rsidRPr="00765E50">
        <w:rPr>
          <w:noProof/>
          <w:lang w:val="ru-RU"/>
        </w:rPr>
        <w:drawing>
          <wp:inline distT="0" distB="0" distL="0" distR="0">
            <wp:extent cx="6113780" cy="4380865"/>
            <wp:effectExtent l="0" t="0" r="127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3780" cy="4380865"/>
                    </a:xfrm>
                    <a:prstGeom prst="rect">
                      <a:avLst/>
                    </a:prstGeom>
                    <a:noFill/>
                    <a:ln>
                      <a:noFill/>
                    </a:ln>
                  </pic:spPr>
                </pic:pic>
              </a:graphicData>
            </a:graphic>
          </wp:inline>
        </w:drawing>
      </w:r>
      <w:r w:rsidR="0018163B">
        <w:rPr>
          <w:b/>
          <w:color w:val="FF0000"/>
          <w:sz w:val="28"/>
          <w:szCs w:val="28"/>
        </w:rPr>
        <w:t xml:space="preserve">          </w:t>
      </w:r>
    </w:p>
    <w:p w:rsidR="0018163B" w:rsidRDefault="0018163B" w:rsidP="0018163B">
      <w:pPr>
        <w:tabs>
          <w:tab w:val="left" w:pos="2895"/>
          <w:tab w:val="left" w:pos="5655"/>
          <w:tab w:val="left" w:pos="8460"/>
        </w:tabs>
        <w:ind w:firstLine="709"/>
        <w:jc w:val="center"/>
        <w:rPr>
          <w:color w:val="FF0000"/>
          <w:sz w:val="28"/>
          <w:szCs w:val="28"/>
        </w:rPr>
      </w:pPr>
    </w:p>
    <w:p w:rsidR="0018163B" w:rsidRDefault="0018163B" w:rsidP="0018163B">
      <w:pPr>
        <w:ind w:firstLine="696"/>
        <w:jc w:val="both"/>
        <w:rPr>
          <w:sz w:val="28"/>
          <w:szCs w:val="28"/>
        </w:rPr>
      </w:pPr>
      <w:r>
        <w:rPr>
          <w:sz w:val="28"/>
          <w:szCs w:val="28"/>
        </w:rPr>
        <w:t xml:space="preserve">Станом на 01.06.2017  заборгованість по заробітній платі по активних підприємствах  міста  склала  </w:t>
      </w:r>
      <w:r>
        <w:rPr>
          <w:sz w:val="28"/>
          <w:szCs w:val="28"/>
          <w:lang w:val="ru-RU"/>
        </w:rPr>
        <w:t>924,6</w:t>
      </w:r>
      <w:r>
        <w:rPr>
          <w:sz w:val="28"/>
          <w:szCs w:val="28"/>
        </w:rPr>
        <w:t xml:space="preserve"> тис.</w:t>
      </w:r>
      <w:r w:rsidR="00F22E21">
        <w:rPr>
          <w:sz w:val="28"/>
          <w:szCs w:val="28"/>
        </w:rPr>
        <w:t xml:space="preserve"> </w:t>
      </w:r>
      <w:r>
        <w:rPr>
          <w:sz w:val="28"/>
          <w:szCs w:val="28"/>
        </w:rPr>
        <w:t xml:space="preserve">грн. (статистика). в </w:t>
      </w:r>
      <w:proofErr w:type="spellStart"/>
      <w:r>
        <w:rPr>
          <w:sz w:val="28"/>
          <w:szCs w:val="28"/>
        </w:rPr>
        <w:t>т.ч</w:t>
      </w:r>
      <w:proofErr w:type="spellEnd"/>
      <w:r>
        <w:rPr>
          <w:sz w:val="28"/>
          <w:szCs w:val="28"/>
        </w:rPr>
        <w:t xml:space="preserve">.:  </w:t>
      </w:r>
      <w:r w:rsidR="00F22E21">
        <w:rPr>
          <w:sz w:val="28"/>
          <w:szCs w:val="28"/>
        </w:rPr>
        <w:t xml:space="preserve">                         </w:t>
      </w:r>
      <w:r>
        <w:rPr>
          <w:sz w:val="28"/>
          <w:szCs w:val="28"/>
        </w:rPr>
        <w:t xml:space="preserve">ДВНЗ «Кременчуцький коледж транспортної інфраструктури» - </w:t>
      </w:r>
      <w:r>
        <w:rPr>
          <w:sz w:val="28"/>
          <w:szCs w:val="28"/>
          <w:lang w:val="ru-RU"/>
        </w:rPr>
        <w:t>924,6</w:t>
      </w:r>
      <w:r>
        <w:rPr>
          <w:sz w:val="28"/>
          <w:szCs w:val="28"/>
        </w:rPr>
        <w:t xml:space="preserve"> тис.</w:t>
      </w:r>
      <w:r w:rsidR="00F22E21">
        <w:rPr>
          <w:sz w:val="28"/>
          <w:szCs w:val="28"/>
        </w:rPr>
        <w:t xml:space="preserve"> </w:t>
      </w:r>
      <w:r>
        <w:rPr>
          <w:sz w:val="28"/>
          <w:szCs w:val="28"/>
        </w:rPr>
        <w:t>грн.</w:t>
      </w:r>
    </w:p>
    <w:p w:rsidR="0018163B" w:rsidRDefault="0018163B" w:rsidP="0018163B">
      <w:pPr>
        <w:autoSpaceDE w:val="0"/>
        <w:autoSpaceDN w:val="0"/>
        <w:adjustRightInd w:val="0"/>
        <w:spacing w:after="120"/>
        <w:ind w:firstLine="567"/>
        <w:jc w:val="both"/>
        <w:rPr>
          <w:kern w:val="2"/>
          <w:sz w:val="28"/>
          <w:szCs w:val="28"/>
        </w:rPr>
      </w:pPr>
      <w:r>
        <w:rPr>
          <w:kern w:val="2"/>
          <w:sz w:val="28"/>
          <w:szCs w:val="28"/>
        </w:rPr>
        <w:t xml:space="preserve">Згідно з моніторингом станом на 01.07.2017 очікувана заборгованість по зарплаті по активних підприємствах  міста складає  -  </w:t>
      </w:r>
      <w:r>
        <w:rPr>
          <w:kern w:val="2"/>
          <w:sz w:val="28"/>
          <w:szCs w:val="28"/>
          <w:lang w:val="ru-RU"/>
        </w:rPr>
        <w:t xml:space="preserve">931,8 </w:t>
      </w:r>
      <w:r>
        <w:rPr>
          <w:kern w:val="2"/>
          <w:sz w:val="28"/>
          <w:szCs w:val="28"/>
        </w:rPr>
        <w:t>тис.</w:t>
      </w:r>
      <w:r w:rsidR="00F22E21">
        <w:rPr>
          <w:kern w:val="2"/>
          <w:sz w:val="28"/>
          <w:szCs w:val="28"/>
        </w:rPr>
        <w:t xml:space="preserve"> </w:t>
      </w:r>
      <w:r>
        <w:rPr>
          <w:kern w:val="2"/>
          <w:sz w:val="28"/>
          <w:szCs w:val="28"/>
        </w:rPr>
        <w:t xml:space="preserve">грн., в </w:t>
      </w:r>
      <w:proofErr w:type="spellStart"/>
      <w:r>
        <w:rPr>
          <w:kern w:val="2"/>
          <w:sz w:val="28"/>
          <w:szCs w:val="28"/>
        </w:rPr>
        <w:t>т.ч</w:t>
      </w:r>
      <w:proofErr w:type="spellEnd"/>
      <w:r>
        <w:rPr>
          <w:kern w:val="2"/>
          <w:sz w:val="28"/>
          <w:szCs w:val="28"/>
        </w:rPr>
        <w:t xml:space="preserve">.:  ДВНЗ «Кременчуцький коледж транспортної інфраструктури» - </w:t>
      </w:r>
      <w:r>
        <w:rPr>
          <w:kern w:val="2"/>
          <w:sz w:val="28"/>
          <w:szCs w:val="28"/>
          <w:lang w:val="ru-RU"/>
        </w:rPr>
        <w:t>931,8</w:t>
      </w:r>
      <w:r>
        <w:rPr>
          <w:kern w:val="2"/>
          <w:sz w:val="28"/>
          <w:szCs w:val="28"/>
        </w:rPr>
        <w:t xml:space="preserve"> тис.</w:t>
      </w:r>
      <w:r w:rsidR="00F22E21">
        <w:rPr>
          <w:kern w:val="2"/>
          <w:sz w:val="28"/>
          <w:szCs w:val="28"/>
        </w:rPr>
        <w:t xml:space="preserve"> </w:t>
      </w:r>
      <w:r>
        <w:rPr>
          <w:kern w:val="2"/>
          <w:sz w:val="28"/>
          <w:szCs w:val="28"/>
        </w:rPr>
        <w:t>грн.</w:t>
      </w:r>
    </w:p>
    <w:p w:rsidR="0018163B" w:rsidRDefault="0018163B" w:rsidP="0018163B">
      <w:pPr>
        <w:ind w:firstLine="696"/>
        <w:jc w:val="both"/>
        <w:rPr>
          <w:color w:val="FF0000"/>
          <w:sz w:val="28"/>
          <w:szCs w:val="28"/>
        </w:rPr>
      </w:pPr>
    </w:p>
    <w:p w:rsidR="0018163B" w:rsidRDefault="0018163B" w:rsidP="0018163B">
      <w:pPr>
        <w:pStyle w:val="1"/>
        <w:rPr>
          <w:rFonts w:ascii="Times New Roman" w:hAnsi="Times New Roman"/>
          <w:color w:val="auto"/>
          <w:sz w:val="28"/>
        </w:rPr>
      </w:pPr>
      <w:r>
        <w:rPr>
          <w:rFonts w:ascii="Times New Roman" w:hAnsi="Times New Roman"/>
          <w:color w:val="auto"/>
          <w:sz w:val="28"/>
        </w:rPr>
        <w:lastRenderedPageBreak/>
        <w:t>Спеціальний фонд</w:t>
      </w:r>
    </w:p>
    <w:p w:rsidR="00AE228C" w:rsidRDefault="0018163B" w:rsidP="0018163B">
      <w:pPr>
        <w:autoSpaceDE w:val="0"/>
        <w:autoSpaceDN w:val="0"/>
        <w:adjustRightInd w:val="0"/>
        <w:spacing w:after="120"/>
        <w:ind w:firstLine="567"/>
        <w:jc w:val="both"/>
        <w:rPr>
          <w:kern w:val="2"/>
          <w:sz w:val="28"/>
          <w:szCs w:val="28"/>
        </w:rPr>
      </w:pPr>
      <w:r>
        <w:rPr>
          <w:b/>
          <w:kern w:val="2"/>
          <w:sz w:val="28"/>
          <w:szCs w:val="28"/>
        </w:rPr>
        <w:t>По</w:t>
      </w:r>
      <w:r>
        <w:rPr>
          <w:kern w:val="2"/>
          <w:sz w:val="28"/>
          <w:szCs w:val="28"/>
        </w:rPr>
        <w:t xml:space="preserve"> </w:t>
      </w:r>
      <w:r>
        <w:rPr>
          <w:b/>
          <w:kern w:val="2"/>
          <w:sz w:val="28"/>
          <w:szCs w:val="28"/>
        </w:rPr>
        <w:t xml:space="preserve">спеціальному фонду </w:t>
      </w:r>
      <w:r>
        <w:rPr>
          <w:kern w:val="2"/>
          <w:sz w:val="28"/>
          <w:szCs w:val="28"/>
        </w:rPr>
        <w:t>при затвердженому річному  плані  на 2017 рік (без офіційних трансфертів)  – 48 414,862 тис.</w:t>
      </w:r>
      <w:r w:rsidR="00F22E21">
        <w:rPr>
          <w:kern w:val="2"/>
          <w:sz w:val="28"/>
          <w:szCs w:val="28"/>
        </w:rPr>
        <w:t xml:space="preserve"> </w:t>
      </w:r>
      <w:r>
        <w:rPr>
          <w:kern w:val="2"/>
          <w:sz w:val="28"/>
          <w:szCs w:val="28"/>
        </w:rPr>
        <w:t>грн. фактично надійшло – 31 192,675  тис.</w:t>
      </w:r>
      <w:r w:rsidR="00F22E21">
        <w:rPr>
          <w:kern w:val="2"/>
          <w:sz w:val="28"/>
          <w:szCs w:val="28"/>
        </w:rPr>
        <w:t xml:space="preserve"> </w:t>
      </w:r>
      <w:r>
        <w:rPr>
          <w:kern w:val="2"/>
          <w:sz w:val="28"/>
          <w:szCs w:val="28"/>
        </w:rPr>
        <w:t>грн., виконання до річного плану  склало 64,4%; по офіційних трансфертах виконання річних планових показників забезпечено на 37,0% при плані 17 085,685 тис.</w:t>
      </w:r>
      <w:r w:rsidR="00F22E21">
        <w:rPr>
          <w:kern w:val="2"/>
          <w:sz w:val="28"/>
          <w:szCs w:val="28"/>
        </w:rPr>
        <w:t xml:space="preserve"> </w:t>
      </w:r>
      <w:r>
        <w:rPr>
          <w:kern w:val="2"/>
          <w:sz w:val="28"/>
          <w:szCs w:val="28"/>
        </w:rPr>
        <w:t>грн. фактично надійшло 6 318,451 тис.</w:t>
      </w:r>
      <w:r w:rsidR="00F22E21">
        <w:rPr>
          <w:kern w:val="2"/>
          <w:sz w:val="28"/>
          <w:szCs w:val="28"/>
        </w:rPr>
        <w:t xml:space="preserve"> </w:t>
      </w:r>
      <w:r>
        <w:rPr>
          <w:kern w:val="2"/>
          <w:sz w:val="28"/>
          <w:szCs w:val="28"/>
        </w:rPr>
        <w:t>грн. та на звітну дату виконання склало – 73,6% ( план 8 585,685 тис.</w:t>
      </w:r>
      <w:r w:rsidR="00F22E21">
        <w:rPr>
          <w:kern w:val="2"/>
          <w:sz w:val="28"/>
          <w:szCs w:val="28"/>
        </w:rPr>
        <w:t xml:space="preserve"> </w:t>
      </w:r>
      <w:r>
        <w:rPr>
          <w:kern w:val="2"/>
          <w:sz w:val="28"/>
          <w:szCs w:val="28"/>
        </w:rPr>
        <w:t>грн.)</w:t>
      </w:r>
      <w:r w:rsidR="00AE228C" w:rsidRPr="00AE228C">
        <w:rPr>
          <w:rFonts w:eastAsiaTheme="minorHAnsi"/>
          <w:sz w:val="28"/>
          <w:szCs w:val="28"/>
        </w:rPr>
        <w:t xml:space="preserve"> </w:t>
      </w:r>
      <w:r w:rsidR="00AE228C" w:rsidRPr="00AE228C">
        <w:rPr>
          <w:rFonts w:eastAsiaTheme="minorHAnsi"/>
          <w:sz w:val="28"/>
          <w:szCs w:val="28"/>
        </w:rPr>
        <w:t xml:space="preserve">(додаток 1 до Пояснювальної записки про виконання міського бюджету за І півріччя </w:t>
      </w:r>
      <w:r w:rsidR="00AE228C">
        <w:rPr>
          <w:rFonts w:eastAsiaTheme="minorHAnsi"/>
          <w:sz w:val="28"/>
          <w:szCs w:val="28"/>
        </w:rPr>
        <w:t xml:space="preserve">                 </w:t>
      </w:r>
      <w:r w:rsidR="00AE228C" w:rsidRPr="00AE228C">
        <w:rPr>
          <w:rFonts w:eastAsiaTheme="minorHAnsi"/>
          <w:sz w:val="28"/>
          <w:szCs w:val="28"/>
        </w:rPr>
        <w:t>2017 року).</w:t>
      </w:r>
    </w:p>
    <w:p w:rsidR="00F5482C" w:rsidRDefault="00F5482C" w:rsidP="00F5482C">
      <w:pPr>
        <w:autoSpaceDE w:val="0"/>
        <w:autoSpaceDN w:val="0"/>
        <w:adjustRightInd w:val="0"/>
        <w:spacing w:after="120"/>
        <w:ind w:firstLine="8364"/>
        <w:jc w:val="both"/>
        <w:rPr>
          <w:color w:val="FF0000"/>
          <w:sz w:val="28"/>
          <w:szCs w:val="28"/>
        </w:rPr>
      </w:pPr>
      <w:r>
        <w:rPr>
          <w:kern w:val="2"/>
          <w:sz w:val="28"/>
          <w:szCs w:val="28"/>
        </w:rPr>
        <w:t>тис. грн.</w:t>
      </w:r>
    </w:p>
    <w:p w:rsidR="0018163B" w:rsidRDefault="00765E50" w:rsidP="00765E50">
      <w:pPr>
        <w:jc w:val="right"/>
        <w:rPr>
          <w:iCs/>
          <w:color w:val="FF0000"/>
          <w:sz w:val="28"/>
          <w:szCs w:val="28"/>
        </w:rPr>
      </w:pPr>
      <w:r w:rsidRPr="00765E50">
        <w:rPr>
          <w:noProof/>
          <w:lang w:val="ru-RU"/>
        </w:rPr>
        <w:drawing>
          <wp:inline distT="0" distB="0" distL="0" distR="0">
            <wp:extent cx="6049542" cy="4327451"/>
            <wp:effectExtent l="19050" t="19050" r="27940" b="165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645" cy="4327525"/>
                    </a:xfrm>
                    <a:prstGeom prst="rect">
                      <a:avLst/>
                    </a:prstGeom>
                    <a:noFill/>
                    <a:ln w="3175">
                      <a:solidFill>
                        <a:schemeClr val="tx1"/>
                      </a:solidFill>
                    </a:ln>
                  </pic:spPr>
                </pic:pic>
              </a:graphicData>
            </a:graphic>
          </wp:inline>
        </w:drawing>
      </w:r>
    </w:p>
    <w:p w:rsidR="0018163B" w:rsidRDefault="0018163B" w:rsidP="0018163B">
      <w:pPr>
        <w:ind w:firstLine="709"/>
        <w:jc w:val="both"/>
        <w:rPr>
          <w:sz w:val="28"/>
          <w:szCs w:val="28"/>
        </w:rPr>
      </w:pPr>
      <w:r>
        <w:rPr>
          <w:sz w:val="28"/>
          <w:szCs w:val="28"/>
        </w:rPr>
        <w:t>Станом на 01.07.2017 до бюджету розвитку  фактично надійшло   -  2 406,463  тис.</w:t>
      </w:r>
      <w:r w:rsidR="00F22E21">
        <w:rPr>
          <w:sz w:val="28"/>
          <w:szCs w:val="28"/>
        </w:rPr>
        <w:t xml:space="preserve"> </w:t>
      </w:r>
      <w:r>
        <w:rPr>
          <w:sz w:val="28"/>
          <w:szCs w:val="28"/>
        </w:rPr>
        <w:t>грн. при річному плані 6 300,100  тис.</w:t>
      </w:r>
      <w:r w:rsidR="00F22E21">
        <w:rPr>
          <w:sz w:val="28"/>
          <w:szCs w:val="28"/>
        </w:rPr>
        <w:t xml:space="preserve"> </w:t>
      </w:r>
      <w:r>
        <w:rPr>
          <w:sz w:val="28"/>
          <w:szCs w:val="28"/>
        </w:rPr>
        <w:t>грн., виконання до річного плану склало 38,2% та  на звітну дату 98,3% /-/ 41,587  тис.</w:t>
      </w:r>
      <w:r w:rsidR="00F22E21">
        <w:rPr>
          <w:sz w:val="28"/>
          <w:szCs w:val="28"/>
        </w:rPr>
        <w:t xml:space="preserve"> </w:t>
      </w:r>
      <w:r>
        <w:rPr>
          <w:sz w:val="28"/>
          <w:szCs w:val="28"/>
        </w:rPr>
        <w:t>грн. (план        2 448,050 тис.</w:t>
      </w:r>
      <w:r w:rsidR="00F22E21">
        <w:rPr>
          <w:sz w:val="28"/>
          <w:szCs w:val="28"/>
        </w:rPr>
        <w:t xml:space="preserve"> </w:t>
      </w:r>
      <w:r>
        <w:rPr>
          <w:sz w:val="28"/>
          <w:szCs w:val="28"/>
        </w:rPr>
        <w:t>грн.), в тому числі:</w:t>
      </w:r>
    </w:p>
    <w:p w:rsidR="0018163B" w:rsidRDefault="0018163B" w:rsidP="0018163B">
      <w:pPr>
        <w:ind w:firstLine="709"/>
        <w:jc w:val="both"/>
        <w:rPr>
          <w:sz w:val="28"/>
          <w:szCs w:val="28"/>
        </w:rPr>
      </w:pPr>
      <w:r>
        <w:rPr>
          <w:sz w:val="28"/>
          <w:szCs w:val="28"/>
        </w:rPr>
        <w:t xml:space="preserve"> по надходженню коштів пайової участі у розвитку інфраструктури населеного пункту виконання на звітну дату забезпечено на 167,9% при плані  1 390,000 тис.</w:t>
      </w:r>
      <w:r w:rsidR="00F22E21">
        <w:rPr>
          <w:sz w:val="28"/>
          <w:szCs w:val="28"/>
        </w:rPr>
        <w:t xml:space="preserve"> </w:t>
      </w:r>
      <w:r>
        <w:rPr>
          <w:sz w:val="28"/>
          <w:szCs w:val="28"/>
        </w:rPr>
        <w:t>грн. фактично отримано  2 333,877 тис.</w:t>
      </w:r>
      <w:r w:rsidR="00F22E21">
        <w:rPr>
          <w:sz w:val="28"/>
          <w:szCs w:val="28"/>
        </w:rPr>
        <w:t xml:space="preserve"> </w:t>
      </w:r>
      <w:r>
        <w:rPr>
          <w:sz w:val="28"/>
          <w:szCs w:val="28"/>
        </w:rPr>
        <w:t>грн./+/ 943,877 тис.</w:t>
      </w:r>
      <w:r w:rsidR="00F22E21">
        <w:rPr>
          <w:sz w:val="28"/>
          <w:szCs w:val="28"/>
        </w:rPr>
        <w:t xml:space="preserve"> </w:t>
      </w:r>
      <w:r>
        <w:rPr>
          <w:sz w:val="28"/>
          <w:szCs w:val="28"/>
        </w:rPr>
        <w:t>грн.;</w:t>
      </w:r>
    </w:p>
    <w:p w:rsidR="0018163B" w:rsidRDefault="0018163B" w:rsidP="0018163B">
      <w:pPr>
        <w:ind w:firstLine="709"/>
        <w:jc w:val="both"/>
        <w:rPr>
          <w:sz w:val="28"/>
          <w:szCs w:val="28"/>
        </w:rPr>
      </w:pPr>
      <w:r>
        <w:rPr>
          <w:sz w:val="28"/>
          <w:szCs w:val="28"/>
        </w:rPr>
        <w:t>по надходженню коштів від продажу землі  виконання склало - 6,9% при плані  1 058,050 тис.</w:t>
      </w:r>
      <w:r w:rsidR="00F22E21">
        <w:rPr>
          <w:sz w:val="28"/>
          <w:szCs w:val="28"/>
        </w:rPr>
        <w:t xml:space="preserve"> </w:t>
      </w:r>
      <w:r>
        <w:rPr>
          <w:sz w:val="28"/>
          <w:szCs w:val="28"/>
        </w:rPr>
        <w:t>грн. фактично отримано  72,586  тис.</w:t>
      </w:r>
      <w:r w:rsidR="00F22E21">
        <w:rPr>
          <w:sz w:val="28"/>
          <w:szCs w:val="28"/>
        </w:rPr>
        <w:t xml:space="preserve"> </w:t>
      </w:r>
      <w:r>
        <w:rPr>
          <w:sz w:val="28"/>
          <w:szCs w:val="28"/>
        </w:rPr>
        <w:t xml:space="preserve">грн./-/ </w:t>
      </w:r>
      <w:r w:rsidR="00F22E21">
        <w:rPr>
          <w:sz w:val="28"/>
          <w:szCs w:val="28"/>
        </w:rPr>
        <w:t xml:space="preserve">                          </w:t>
      </w:r>
      <w:r>
        <w:rPr>
          <w:sz w:val="28"/>
          <w:szCs w:val="28"/>
        </w:rPr>
        <w:t>985,464 тис.</w:t>
      </w:r>
      <w:r w:rsidR="00F22E21">
        <w:rPr>
          <w:sz w:val="28"/>
          <w:szCs w:val="28"/>
        </w:rPr>
        <w:t xml:space="preserve"> </w:t>
      </w:r>
      <w:r>
        <w:rPr>
          <w:sz w:val="28"/>
          <w:szCs w:val="28"/>
        </w:rPr>
        <w:t>грн.</w:t>
      </w:r>
    </w:p>
    <w:p w:rsidR="0018163B" w:rsidRDefault="0018163B" w:rsidP="0018163B">
      <w:pPr>
        <w:ind w:firstLine="709"/>
        <w:jc w:val="both"/>
        <w:rPr>
          <w:iCs/>
          <w:sz w:val="28"/>
          <w:szCs w:val="28"/>
        </w:rPr>
      </w:pPr>
      <w:r>
        <w:rPr>
          <w:sz w:val="28"/>
          <w:szCs w:val="28"/>
        </w:rPr>
        <w:t>По екологічному податку виконання  до річного плану склало 69,4% при плані 5 300,000 тис.</w:t>
      </w:r>
      <w:r w:rsidR="00F22E21">
        <w:rPr>
          <w:sz w:val="28"/>
          <w:szCs w:val="28"/>
        </w:rPr>
        <w:t xml:space="preserve"> </w:t>
      </w:r>
      <w:r>
        <w:rPr>
          <w:sz w:val="28"/>
          <w:szCs w:val="28"/>
        </w:rPr>
        <w:t>грн. фактично надійшло 3 675,978 тис.</w:t>
      </w:r>
      <w:r w:rsidR="00F22E21">
        <w:rPr>
          <w:sz w:val="28"/>
          <w:szCs w:val="28"/>
        </w:rPr>
        <w:t xml:space="preserve"> </w:t>
      </w:r>
      <w:r>
        <w:rPr>
          <w:sz w:val="28"/>
          <w:szCs w:val="28"/>
        </w:rPr>
        <w:t>грн. Виконання плану на звітну дату забезпечено на 139,0% (план 2 644,000 тис.</w:t>
      </w:r>
      <w:r w:rsidR="00F22E21">
        <w:rPr>
          <w:sz w:val="28"/>
          <w:szCs w:val="28"/>
        </w:rPr>
        <w:t xml:space="preserve"> </w:t>
      </w:r>
      <w:r>
        <w:rPr>
          <w:sz w:val="28"/>
          <w:szCs w:val="28"/>
        </w:rPr>
        <w:t>грн.), понад план отримано /+/1 031,978 тис.</w:t>
      </w:r>
      <w:r w:rsidR="00F22E21">
        <w:rPr>
          <w:sz w:val="28"/>
          <w:szCs w:val="28"/>
        </w:rPr>
        <w:t xml:space="preserve"> </w:t>
      </w:r>
      <w:r>
        <w:rPr>
          <w:sz w:val="28"/>
          <w:szCs w:val="28"/>
        </w:rPr>
        <w:t>грн.</w:t>
      </w:r>
    </w:p>
    <w:p w:rsidR="0018163B" w:rsidRDefault="0018163B" w:rsidP="0018163B">
      <w:pPr>
        <w:ind w:firstLine="709"/>
        <w:jc w:val="both"/>
        <w:rPr>
          <w:sz w:val="28"/>
          <w:szCs w:val="28"/>
        </w:rPr>
      </w:pPr>
      <w:r>
        <w:rPr>
          <w:sz w:val="28"/>
          <w:szCs w:val="28"/>
        </w:rPr>
        <w:lastRenderedPageBreak/>
        <w:t>В місті постійно проводяться відповідні заходи щодо наповнення доходної частини міського бюджету.</w:t>
      </w:r>
    </w:p>
    <w:p w:rsidR="0018163B" w:rsidRDefault="00AE228C" w:rsidP="0018163B">
      <w:pPr>
        <w:ind w:firstLine="709"/>
        <w:jc w:val="both"/>
        <w:rPr>
          <w:sz w:val="28"/>
          <w:szCs w:val="28"/>
        </w:rPr>
      </w:pPr>
      <w:r>
        <w:rPr>
          <w:sz w:val="28"/>
          <w:szCs w:val="28"/>
        </w:rPr>
        <w:t xml:space="preserve">Станом на 01.07.2017 </w:t>
      </w:r>
      <w:r w:rsidR="0018163B">
        <w:rPr>
          <w:sz w:val="28"/>
          <w:szCs w:val="28"/>
        </w:rPr>
        <w:t>проведено 2 засідання  робочої  групи при міськвиконкомі з питань забезпечення своєчасності і повноти сплати податків та погашення заборгованості з виплати заробітної плати, пенсій, стипендій та інших соціальних виплат, на якій заслухано 5 керівників підприємств.</w:t>
      </w:r>
    </w:p>
    <w:p w:rsidR="0018163B" w:rsidRDefault="0018163B" w:rsidP="0018163B">
      <w:pPr>
        <w:ind w:firstLine="720"/>
        <w:jc w:val="both"/>
        <w:rPr>
          <w:sz w:val="28"/>
        </w:rPr>
      </w:pPr>
      <w:r>
        <w:rPr>
          <w:sz w:val="28"/>
          <w:szCs w:val="28"/>
        </w:rPr>
        <w:t xml:space="preserve">За інформацією КОДПІ  ГУ ДФС у Полтавській області </w:t>
      </w:r>
      <w:r>
        <w:rPr>
          <w:sz w:val="28"/>
        </w:rPr>
        <w:t xml:space="preserve">за І півріччя </w:t>
      </w:r>
      <w:r w:rsidR="00F22E21">
        <w:rPr>
          <w:sz w:val="28"/>
        </w:rPr>
        <w:t xml:space="preserve"> </w:t>
      </w:r>
      <w:r>
        <w:rPr>
          <w:sz w:val="28"/>
        </w:rPr>
        <w:t xml:space="preserve">2017 року членами групи по легалізації виплати заробітної плати та зайнятості населення  м. Кременчука за участю працівників Кременчуцької ОДПІ ГУ ДФС у Полтавській області, проведено 19 спільних рейдів за результатами яких:  перевірено 428 суб’єктів  господарювання. Встановлено порушення у </w:t>
      </w:r>
      <w:r w:rsidR="00F22E21">
        <w:rPr>
          <w:sz w:val="28"/>
        </w:rPr>
        <w:t xml:space="preserve">            </w:t>
      </w:r>
      <w:r>
        <w:rPr>
          <w:sz w:val="28"/>
        </w:rPr>
        <w:t>86 суб’єктів господарювання, виявлено 123 неоформлених найманих працівників.</w:t>
      </w:r>
    </w:p>
    <w:p w:rsidR="0018163B" w:rsidRDefault="0018163B" w:rsidP="0018163B">
      <w:pPr>
        <w:ind w:firstLine="720"/>
        <w:jc w:val="both"/>
        <w:rPr>
          <w:sz w:val="28"/>
        </w:rPr>
      </w:pPr>
      <w:r>
        <w:rPr>
          <w:sz w:val="28"/>
        </w:rPr>
        <w:t>Оформлено трудові відносини та укладено трудові договори з</w:t>
      </w:r>
      <w:r>
        <w:t xml:space="preserve"> </w:t>
      </w:r>
      <w:r w:rsidR="00F22E21">
        <w:t xml:space="preserve">                          </w:t>
      </w:r>
      <w:r>
        <w:rPr>
          <w:sz w:val="28"/>
        </w:rPr>
        <w:t>65 найманими працівниками, у результаті сплачено податку на доходи фізичних осіб в сумі 37,4 тис.</w:t>
      </w:r>
      <w:r w:rsidR="00F22E21">
        <w:rPr>
          <w:sz w:val="28"/>
        </w:rPr>
        <w:t xml:space="preserve"> </w:t>
      </w:r>
      <w:r>
        <w:rPr>
          <w:sz w:val="28"/>
        </w:rPr>
        <w:t xml:space="preserve">грн., єдиного соціального внеску </w:t>
      </w:r>
      <w:r w:rsidR="00F22E21">
        <w:rPr>
          <w:sz w:val="28"/>
        </w:rPr>
        <w:t xml:space="preserve">                              </w:t>
      </w:r>
      <w:r>
        <w:rPr>
          <w:sz w:val="28"/>
        </w:rPr>
        <w:t>45,8  тис.</w:t>
      </w:r>
      <w:r w:rsidR="00F22E21">
        <w:rPr>
          <w:sz w:val="28"/>
        </w:rPr>
        <w:t xml:space="preserve"> </w:t>
      </w:r>
      <w:r>
        <w:rPr>
          <w:sz w:val="28"/>
        </w:rPr>
        <w:t>грн.,</w:t>
      </w:r>
      <w:r>
        <w:rPr>
          <w:sz w:val="28"/>
          <w:lang w:val="en-US"/>
        </w:rPr>
        <w:t> </w:t>
      </w:r>
      <w:r>
        <w:rPr>
          <w:sz w:val="28"/>
        </w:rPr>
        <w:t>військового збору – 3,2 тис.</w:t>
      </w:r>
      <w:r w:rsidR="00F22E21">
        <w:rPr>
          <w:sz w:val="28"/>
        </w:rPr>
        <w:t xml:space="preserve"> </w:t>
      </w:r>
      <w:r>
        <w:rPr>
          <w:sz w:val="28"/>
        </w:rPr>
        <w:t>грн.; 13 працівників зареєструвалися як  приватні підприємці, як наслідок –</w:t>
      </w:r>
      <w:bookmarkStart w:id="0" w:name="__DdeLink__35309_1161676357"/>
      <w:bookmarkEnd w:id="0"/>
      <w:r>
        <w:rPr>
          <w:sz w:val="28"/>
        </w:rPr>
        <w:t xml:space="preserve"> сплачено єдиного податку – 8,3 тис.</w:t>
      </w:r>
      <w:r w:rsidR="00F22E21">
        <w:rPr>
          <w:sz w:val="28"/>
        </w:rPr>
        <w:t xml:space="preserve"> </w:t>
      </w:r>
      <w:r>
        <w:rPr>
          <w:sz w:val="28"/>
        </w:rPr>
        <w:t>грн.</w:t>
      </w:r>
    </w:p>
    <w:p w:rsidR="0018163B" w:rsidRDefault="0018163B" w:rsidP="0018163B">
      <w:pPr>
        <w:ind w:firstLine="720"/>
        <w:jc w:val="both"/>
        <w:rPr>
          <w:sz w:val="28"/>
        </w:rPr>
      </w:pPr>
      <w:r>
        <w:rPr>
          <w:sz w:val="28"/>
        </w:rPr>
        <w:t>При викон</w:t>
      </w:r>
      <w:r w:rsidR="00AE228C">
        <w:rPr>
          <w:sz w:val="28"/>
        </w:rPr>
        <w:t>авчому комітеті Кременчуцької міської ради Полтавської області</w:t>
      </w:r>
      <w:r>
        <w:rPr>
          <w:sz w:val="28"/>
        </w:rPr>
        <w:t xml:space="preserve"> проведено 6 засідань, на яких заслухано </w:t>
      </w:r>
      <w:r w:rsidR="00F22E21">
        <w:rPr>
          <w:sz w:val="28"/>
        </w:rPr>
        <w:t xml:space="preserve"> </w:t>
      </w:r>
      <w:r>
        <w:rPr>
          <w:sz w:val="28"/>
        </w:rPr>
        <w:t xml:space="preserve">120 суб'єктів господарювання, а саме: заслухано 59 керівників  юридичних осіб з питань виплати заробітної плати в розмірах менших за встановлений законодавством рівень; 53 фізичних осіб — підприємців та 8 керівників  юридичних осіб за результатами проведених спільних рейдів з питань легалізації виплати заробітної плати та зайнятості населення. </w:t>
      </w:r>
      <w:bookmarkStart w:id="1" w:name="_GoBack"/>
      <w:bookmarkEnd w:id="1"/>
    </w:p>
    <w:p w:rsidR="0018163B" w:rsidRDefault="0018163B" w:rsidP="0018163B">
      <w:pPr>
        <w:autoSpaceDE w:val="0"/>
        <w:autoSpaceDN w:val="0"/>
        <w:adjustRightInd w:val="0"/>
        <w:spacing w:after="120"/>
        <w:ind w:firstLine="705"/>
        <w:jc w:val="both"/>
        <w:rPr>
          <w:sz w:val="28"/>
        </w:rPr>
      </w:pPr>
      <w:r>
        <w:rPr>
          <w:sz w:val="28"/>
        </w:rPr>
        <w:t xml:space="preserve">По 1 фізичній особі – підприємцю інформацію щодо виявлених непоодиноких фактів використання праці неоформлених працівників передано до Кременчуцького відділу поліції ГУНП в Полтавській області.  До  Управління </w:t>
      </w:r>
      <w:proofErr w:type="spellStart"/>
      <w:r>
        <w:rPr>
          <w:sz w:val="28"/>
        </w:rPr>
        <w:t>Держпраці</w:t>
      </w:r>
      <w:proofErr w:type="spellEnd"/>
      <w:r>
        <w:rPr>
          <w:sz w:val="28"/>
        </w:rPr>
        <w:t xml:space="preserve"> у Полтавській області передано інформацію по 18 ФОП та 5 юридичних особах для вжиття відповідних заходів реагування з питання використання праці неоформлених найманих працівників.</w:t>
      </w:r>
    </w:p>
    <w:p w:rsidR="0018163B" w:rsidRDefault="0018163B" w:rsidP="0018163B">
      <w:pPr>
        <w:autoSpaceDE w:val="0"/>
        <w:autoSpaceDN w:val="0"/>
        <w:adjustRightInd w:val="0"/>
        <w:spacing w:after="120"/>
        <w:ind w:firstLine="705"/>
        <w:jc w:val="both"/>
        <w:rPr>
          <w:color w:val="FF0000"/>
          <w:sz w:val="28"/>
          <w:szCs w:val="28"/>
        </w:rPr>
      </w:pPr>
      <w:r>
        <w:rPr>
          <w:sz w:val="28"/>
          <w:szCs w:val="28"/>
        </w:rPr>
        <w:t xml:space="preserve">З метою розширення бази оподаткування та збільшення надходжень плати за землю проводиться звірка КОДПІ ГУ ДФС у Полтавській області з управлінням земельних ресурсів виконавчого комітету  Кременчуцької міської Полтавської області ради стосовно кількості землекористувачів та площ земельних ділянок відповідно до укладених договорів оренди (останній лист від 16.06.2017 №01-50/1294) та правильності відображення в розрахунках площ земельних ділянок, які знаходяться у власності або в оренді підприємств. </w:t>
      </w:r>
    </w:p>
    <w:p w:rsidR="0018163B" w:rsidRDefault="0018163B" w:rsidP="0018163B">
      <w:pPr>
        <w:autoSpaceDE w:val="0"/>
        <w:autoSpaceDN w:val="0"/>
        <w:adjustRightInd w:val="0"/>
        <w:spacing w:after="120"/>
        <w:ind w:firstLine="705"/>
        <w:jc w:val="both"/>
        <w:rPr>
          <w:sz w:val="28"/>
          <w:szCs w:val="28"/>
        </w:rPr>
      </w:pPr>
      <w:r>
        <w:rPr>
          <w:sz w:val="28"/>
          <w:szCs w:val="28"/>
        </w:rPr>
        <w:t xml:space="preserve">З метою повної та своєчасної сплати земельного податку  з початку 2017 року Кременчуцькою ОДПІ ГУ ДФС  у Полтавській області проводилась роз’яснювальна робота у ЗМІ, </w:t>
      </w:r>
      <w:r>
        <w:rPr>
          <w:kern w:val="2"/>
          <w:sz w:val="28"/>
          <w:szCs w:val="28"/>
          <w:lang w:eastAsia="zh-CN" w:bidi="hi-IN"/>
        </w:rPr>
        <w:t>висвітлено 12 повідомлень  – на радіо, 3 – у пресі та 30 -  в інтернет-виданнях та на сайтах органів влади</w:t>
      </w:r>
      <w:r>
        <w:rPr>
          <w:sz w:val="28"/>
          <w:szCs w:val="28"/>
        </w:rPr>
        <w:t xml:space="preserve">. </w:t>
      </w:r>
    </w:p>
    <w:p w:rsidR="0018163B" w:rsidRDefault="0018163B" w:rsidP="0018163B">
      <w:pPr>
        <w:autoSpaceDE w:val="0"/>
        <w:autoSpaceDN w:val="0"/>
        <w:adjustRightInd w:val="0"/>
        <w:spacing w:after="120"/>
        <w:ind w:firstLine="705"/>
        <w:jc w:val="both"/>
        <w:rPr>
          <w:sz w:val="28"/>
          <w:szCs w:val="28"/>
        </w:rPr>
      </w:pPr>
      <w:r>
        <w:rPr>
          <w:sz w:val="28"/>
          <w:szCs w:val="28"/>
        </w:rPr>
        <w:t xml:space="preserve">З метою забезпечення повноти декларування та сплати акцизного податку з роздрібного продажу підакцизних товарів (алкогольні напої, тютюнові вироби, пальне) з початку року Кременчуцькою ОДПІ </w:t>
      </w:r>
      <w:r w:rsidR="00F22E21">
        <w:rPr>
          <w:kern w:val="2"/>
          <w:sz w:val="28"/>
        </w:rPr>
        <w:t xml:space="preserve">ГУ ДФС у Полтавській області </w:t>
      </w:r>
      <w:r>
        <w:rPr>
          <w:sz w:val="28"/>
          <w:szCs w:val="28"/>
        </w:rPr>
        <w:t>забезпечено:</w:t>
      </w:r>
    </w:p>
    <w:p w:rsidR="0018163B" w:rsidRDefault="0018163B" w:rsidP="00F22E21">
      <w:pPr>
        <w:ind w:firstLine="709"/>
        <w:jc w:val="both"/>
        <w:rPr>
          <w:sz w:val="28"/>
          <w:szCs w:val="28"/>
        </w:rPr>
      </w:pPr>
      <w:r>
        <w:rPr>
          <w:sz w:val="28"/>
          <w:szCs w:val="28"/>
        </w:rPr>
        <w:lastRenderedPageBreak/>
        <w:t>-  проведення співбесід з платниками, як особисто, так і в телефонному режимі;</w:t>
      </w:r>
    </w:p>
    <w:p w:rsidR="0018163B" w:rsidRDefault="0018163B" w:rsidP="00F22E21">
      <w:pPr>
        <w:ind w:firstLine="709"/>
        <w:jc w:val="both"/>
        <w:rPr>
          <w:sz w:val="28"/>
          <w:szCs w:val="28"/>
          <w:lang w:val="ru-RU"/>
        </w:rPr>
      </w:pPr>
      <w:r>
        <w:rPr>
          <w:sz w:val="28"/>
          <w:szCs w:val="28"/>
        </w:rPr>
        <w:t>- проведення звірки платників, які подали декларації акцизного податку, з  базою даних діючих ліцензій на роздрібну торгівлю алкогольними напоями та тютюновими виробами;</w:t>
      </w:r>
    </w:p>
    <w:p w:rsidR="0018163B" w:rsidRDefault="0018163B" w:rsidP="00F22E21">
      <w:pPr>
        <w:ind w:firstLine="709"/>
        <w:jc w:val="both"/>
        <w:rPr>
          <w:sz w:val="28"/>
          <w:szCs w:val="28"/>
        </w:rPr>
      </w:pPr>
      <w:r>
        <w:rPr>
          <w:sz w:val="28"/>
          <w:szCs w:val="28"/>
          <w:lang w:val="ru-RU"/>
        </w:rPr>
        <w:t xml:space="preserve">- </w:t>
      </w:r>
      <w:r>
        <w:rPr>
          <w:sz w:val="28"/>
          <w:szCs w:val="28"/>
        </w:rPr>
        <w:t xml:space="preserve">подання декларацій акцизного податку всіма без винятку суб’єктами господарювання, які мають ліцензії на право роздрібної торгівлі алкогольними напоями та тютюновими виробами, а також автозаправними станціями, які здійснюють реалізацію підакцизних нафтопродуктів. </w:t>
      </w:r>
    </w:p>
    <w:p w:rsidR="0018163B" w:rsidRDefault="0018163B" w:rsidP="0018163B">
      <w:pPr>
        <w:autoSpaceDE w:val="0"/>
        <w:autoSpaceDN w:val="0"/>
        <w:adjustRightInd w:val="0"/>
        <w:spacing w:after="120"/>
        <w:ind w:firstLine="705"/>
        <w:jc w:val="both"/>
        <w:rPr>
          <w:kern w:val="2"/>
          <w:sz w:val="28"/>
        </w:rPr>
      </w:pPr>
      <w:r>
        <w:rPr>
          <w:kern w:val="2"/>
          <w:sz w:val="28"/>
        </w:rPr>
        <w:t>За результатами проведених перевірок з початку року сплачено                      524,1 тис.</w:t>
      </w:r>
      <w:r w:rsidR="00F22E21">
        <w:rPr>
          <w:kern w:val="2"/>
          <w:sz w:val="28"/>
        </w:rPr>
        <w:t xml:space="preserve"> </w:t>
      </w:r>
      <w:r>
        <w:rPr>
          <w:kern w:val="2"/>
          <w:sz w:val="28"/>
        </w:rPr>
        <w:t>грн. акцизного податку з роздрібного продажу підакцизних товарів.</w:t>
      </w:r>
    </w:p>
    <w:p w:rsidR="0018163B" w:rsidRDefault="0018163B" w:rsidP="0018163B">
      <w:pPr>
        <w:autoSpaceDE w:val="0"/>
        <w:autoSpaceDN w:val="0"/>
        <w:adjustRightInd w:val="0"/>
        <w:spacing w:after="120"/>
        <w:ind w:firstLine="705"/>
        <w:jc w:val="both"/>
        <w:rPr>
          <w:kern w:val="2"/>
          <w:sz w:val="28"/>
        </w:rPr>
      </w:pPr>
      <w:r>
        <w:rPr>
          <w:kern w:val="2"/>
          <w:sz w:val="28"/>
        </w:rPr>
        <w:t xml:space="preserve">Кременчуцькою ОДПІ ГУ ДФС у Полтавській області проведено заходи щодо роз’яснення змін, внесених до Податкового кодексу України від 21.12.2016 №1797-VIII, стосовно оподаткування податком на нерухоме майно та транспортним податком, а саме: </w:t>
      </w:r>
    </w:p>
    <w:p w:rsidR="0018163B" w:rsidRDefault="0018163B" w:rsidP="006833B9">
      <w:pPr>
        <w:autoSpaceDE w:val="0"/>
        <w:autoSpaceDN w:val="0"/>
        <w:adjustRightInd w:val="0"/>
        <w:spacing w:after="120"/>
        <w:ind w:firstLine="709"/>
        <w:jc w:val="both"/>
        <w:rPr>
          <w:kern w:val="2"/>
          <w:sz w:val="28"/>
        </w:rPr>
      </w:pPr>
      <w:r>
        <w:rPr>
          <w:kern w:val="2"/>
          <w:sz w:val="28"/>
        </w:rPr>
        <w:t>- підготовлено 1 інформаційний матеріал щодо надходжень до місцевого бюджету від власників нерухомості та 2 статті про умови сплати податку</w:t>
      </w:r>
      <w:r w:rsidR="006F5C55">
        <w:rPr>
          <w:kern w:val="2"/>
          <w:sz w:val="28"/>
        </w:rPr>
        <w:t xml:space="preserve"> платниками – фізичними особами;</w:t>
      </w:r>
    </w:p>
    <w:p w:rsidR="0018163B" w:rsidRDefault="0018163B" w:rsidP="006833B9">
      <w:pPr>
        <w:autoSpaceDE w:val="0"/>
        <w:autoSpaceDN w:val="0"/>
        <w:adjustRightInd w:val="0"/>
        <w:spacing w:after="120"/>
        <w:ind w:firstLine="709"/>
        <w:jc w:val="both"/>
        <w:rPr>
          <w:kern w:val="2"/>
          <w:sz w:val="28"/>
        </w:rPr>
      </w:pPr>
      <w:r>
        <w:rPr>
          <w:kern w:val="2"/>
          <w:sz w:val="28"/>
        </w:rPr>
        <w:t xml:space="preserve">- з метою доведення до платників актуальної інформації щодо набрання чинності законодавчими актами з питань, що належать до компетенції ДФС, та підвищення рівня податкової культури платників  з початку року підготовлено </w:t>
      </w:r>
      <w:r w:rsidR="006833B9">
        <w:rPr>
          <w:kern w:val="2"/>
          <w:sz w:val="28"/>
        </w:rPr>
        <w:t xml:space="preserve">            </w:t>
      </w:r>
      <w:r>
        <w:rPr>
          <w:kern w:val="2"/>
          <w:sz w:val="28"/>
        </w:rPr>
        <w:t xml:space="preserve">4 статті роз’яснювального характеру щодо сплати транспортного податку в </w:t>
      </w:r>
      <w:r w:rsidR="006833B9">
        <w:rPr>
          <w:kern w:val="2"/>
          <w:sz w:val="28"/>
        </w:rPr>
        <w:t xml:space="preserve">   </w:t>
      </w:r>
      <w:r>
        <w:rPr>
          <w:kern w:val="2"/>
          <w:sz w:val="28"/>
        </w:rPr>
        <w:t>2017 році та 6</w:t>
      </w:r>
      <w:r>
        <w:rPr>
          <w:kern w:val="2"/>
          <w:sz w:val="28"/>
          <w:szCs w:val="28"/>
          <w:lang w:eastAsia="zh-CN" w:bidi="hi-IN"/>
        </w:rPr>
        <w:t xml:space="preserve"> статей щодо сплати податку на нерухоме майно фізичними особами</w:t>
      </w:r>
      <w:r>
        <w:rPr>
          <w:kern w:val="2"/>
          <w:sz w:val="28"/>
        </w:rPr>
        <w:t xml:space="preserve"> . </w:t>
      </w:r>
    </w:p>
    <w:p w:rsidR="0018163B" w:rsidRDefault="0018163B" w:rsidP="006833B9">
      <w:pPr>
        <w:autoSpaceDE w:val="0"/>
        <w:autoSpaceDN w:val="0"/>
        <w:adjustRightInd w:val="0"/>
        <w:spacing w:after="120"/>
        <w:ind w:firstLine="709"/>
        <w:jc w:val="both"/>
        <w:rPr>
          <w:color w:val="FF0000"/>
          <w:kern w:val="2"/>
          <w:sz w:val="28"/>
        </w:rPr>
      </w:pPr>
      <w:r>
        <w:rPr>
          <w:kern w:val="2"/>
          <w:sz w:val="28"/>
          <w:szCs w:val="28"/>
          <w:lang w:eastAsia="zh-CN" w:bidi="hi-IN"/>
        </w:rPr>
        <w:t>Кількість розміщених матеріалів у ЗМІ стосовно оподаткування податком на нерухоме майно та транспортним податком становить 76, в тому числі: висвітлено в пресі – 8, на радіо – 29 повідомлень, в інтернет-виданнях – 21, на сайтах органів влади – 18</w:t>
      </w:r>
      <w:r>
        <w:rPr>
          <w:color w:val="FF0000"/>
          <w:kern w:val="2"/>
          <w:sz w:val="28"/>
        </w:rPr>
        <w:t>.   </w:t>
      </w:r>
    </w:p>
    <w:p w:rsidR="0018163B" w:rsidRDefault="0018163B" w:rsidP="0018163B">
      <w:pPr>
        <w:autoSpaceDE w:val="0"/>
        <w:autoSpaceDN w:val="0"/>
        <w:adjustRightInd w:val="0"/>
        <w:ind w:firstLine="709"/>
        <w:jc w:val="both"/>
        <w:rPr>
          <w:kern w:val="2"/>
          <w:sz w:val="28"/>
        </w:rPr>
      </w:pPr>
      <w:r>
        <w:rPr>
          <w:kern w:val="2"/>
          <w:sz w:val="28"/>
        </w:rPr>
        <w:t xml:space="preserve">В січні  місяці </w:t>
      </w:r>
      <w:proofErr w:type="spellStart"/>
      <w:r>
        <w:rPr>
          <w:kern w:val="2"/>
          <w:sz w:val="28"/>
        </w:rPr>
        <w:t>п.р</w:t>
      </w:r>
      <w:proofErr w:type="spellEnd"/>
      <w:r>
        <w:rPr>
          <w:kern w:val="2"/>
          <w:sz w:val="28"/>
        </w:rPr>
        <w:t>. в приміщенні Кременчуцької ОДПІ ГУ ДФС у Полтавській області фахівцями інспекції проведено семінар для керівників та бухгалтерів ОСББ з метою роз’яснення основних аспектів практичного застосування норм податкового законодавства, в тому числі по податку на нерухоме майно з житлової та нежитлової нерухомості.</w:t>
      </w:r>
    </w:p>
    <w:p w:rsidR="0018163B" w:rsidRDefault="0018163B" w:rsidP="0018163B">
      <w:pPr>
        <w:autoSpaceDE w:val="0"/>
        <w:autoSpaceDN w:val="0"/>
        <w:adjustRightInd w:val="0"/>
        <w:spacing w:after="120"/>
        <w:ind w:firstLine="720"/>
        <w:jc w:val="both"/>
        <w:rPr>
          <w:kern w:val="2"/>
          <w:sz w:val="28"/>
        </w:rPr>
      </w:pPr>
      <w:r>
        <w:rPr>
          <w:kern w:val="2"/>
          <w:sz w:val="28"/>
        </w:rPr>
        <w:t>Станом на 01.01.2017 до міського бюджету м. Кременчука рахувалось податкового боргу на загальну суму 8 791,8 тис.</w:t>
      </w:r>
      <w:r w:rsidR="006833B9">
        <w:rPr>
          <w:kern w:val="2"/>
          <w:sz w:val="28"/>
        </w:rPr>
        <w:t xml:space="preserve"> </w:t>
      </w:r>
      <w:r>
        <w:rPr>
          <w:kern w:val="2"/>
          <w:sz w:val="28"/>
        </w:rPr>
        <w:t xml:space="preserve">грн. по 2 259 СГД (без врахування банкрутів). </w:t>
      </w:r>
      <w:r>
        <w:rPr>
          <w:kern w:val="2"/>
          <w:sz w:val="28"/>
          <w:lang w:eastAsia="zh-CN" w:bidi="hi-IN"/>
        </w:rPr>
        <w:t>Станом на 01.07.2017 до місцевого бюджету                       м. Кременчука рахується податкового боргу на загальну суму 33 121,9</w:t>
      </w:r>
      <w:r w:rsidR="006833B9">
        <w:rPr>
          <w:kern w:val="2"/>
          <w:sz w:val="28"/>
          <w:lang w:eastAsia="zh-CN" w:bidi="hi-IN"/>
        </w:rPr>
        <w:t xml:space="preserve"> </w:t>
      </w:r>
      <w:r>
        <w:rPr>
          <w:kern w:val="2"/>
          <w:sz w:val="28"/>
          <w:lang w:eastAsia="zh-CN" w:bidi="hi-IN"/>
        </w:rPr>
        <w:t>тис.</w:t>
      </w:r>
      <w:r w:rsidR="006833B9">
        <w:rPr>
          <w:kern w:val="2"/>
          <w:sz w:val="28"/>
          <w:lang w:eastAsia="zh-CN" w:bidi="hi-IN"/>
        </w:rPr>
        <w:t xml:space="preserve"> </w:t>
      </w:r>
      <w:r>
        <w:rPr>
          <w:kern w:val="2"/>
          <w:sz w:val="28"/>
          <w:lang w:eastAsia="zh-CN" w:bidi="hi-IN"/>
        </w:rPr>
        <w:t xml:space="preserve">грн. по 4816 СГД (без врахування банкрутів) </w:t>
      </w:r>
      <w:r>
        <w:rPr>
          <w:kern w:val="2"/>
          <w:sz w:val="28"/>
        </w:rPr>
        <w:t>або в 3,8р. /+/ 24 330,1  тис.</w:t>
      </w:r>
      <w:r w:rsidR="006833B9">
        <w:rPr>
          <w:kern w:val="2"/>
          <w:sz w:val="28"/>
        </w:rPr>
        <w:t xml:space="preserve"> </w:t>
      </w:r>
      <w:r>
        <w:rPr>
          <w:kern w:val="2"/>
          <w:sz w:val="28"/>
        </w:rPr>
        <w:t>грн. (станом на 01.06.2017 податковий борг складав 33 425,3</w:t>
      </w:r>
      <w:r w:rsidR="006833B9">
        <w:rPr>
          <w:kern w:val="2"/>
          <w:sz w:val="28"/>
        </w:rPr>
        <w:t xml:space="preserve"> </w:t>
      </w:r>
      <w:r>
        <w:rPr>
          <w:kern w:val="2"/>
          <w:sz w:val="28"/>
        </w:rPr>
        <w:t>тис.</w:t>
      </w:r>
      <w:r w:rsidR="006833B9">
        <w:rPr>
          <w:kern w:val="2"/>
          <w:sz w:val="28"/>
        </w:rPr>
        <w:t xml:space="preserve"> </w:t>
      </w:r>
      <w:r>
        <w:rPr>
          <w:kern w:val="2"/>
          <w:sz w:val="28"/>
        </w:rPr>
        <w:t>грн.).</w:t>
      </w:r>
    </w:p>
    <w:p w:rsidR="0018163B" w:rsidRDefault="0018163B" w:rsidP="0018163B">
      <w:pPr>
        <w:autoSpaceDE w:val="0"/>
        <w:autoSpaceDN w:val="0"/>
        <w:adjustRightInd w:val="0"/>
        <w:spacing w:after="120"/>
        <w:ind w:firstLine="720"/>
        <w:jc w:val="both"/>
        <w:rPr>
          <w:kern w:val="2"/>
          <w:sz w:val="28"/>
        </w:rPr>
      </w:pPr>
      <w:r>
        <w:rPr>
          <w:kern w:val="2"/>
          <w:sz w:val="28"/>
        </w:rPr>
        <w:t xml:space="preserve">Фінансовим управлінням виконавчого комітету Кременчуцької міської ради Полтавської області направлено лист  № 360/29 від 13.06.2017 </w:t>
      </w:r>
      <w:r w:rsidR="006F5C55">
        <w:rPr>
          <w:kern w:val="2"/>
          <w:sz w:val="28"/>
        </w:rPr>
        <w:t xml:space="preserve">                        </w:t>
      </w:r>
      <w:r>
        <w:rPr>
          <w:kern w:val="2"/>
          <w:sz w:val="28"/>
        </w:rPr>
        <w:t xml:space="preserve">на КОДПІ ГУ ДФС у Полтавській області з проханням надати пояснення та інформацію про заходи, які вживаються до боржників. </w:t>
      </w:r>
    </w:p>
    <w:p w:rsidR="0018163B" w:rsidRDefault="0018163B" w:rsidP="0018163B">
      <w:pPr>
        <w:widowControl w:val="0"/>
        <w:autoSpaceDE w:val="0"/>
        <w:autoSpaceDN w:val="0"/>
        <w:adjustRightInd w:val="0"/>
        <w:ind w:firstLine="702"/>
        <w:jc w:val="both"/>
        <w:rPr>
          <w:kern w:val="2"/>
          <w:sz w:val="28"/>
          <w:lang w:eastAsia="zh-CN" w:bidi="hi-IN"/>
        </w:rPr>
      </w:pPr>
      <w:r>
        <w:rPr>
          <w:kern w:val="2"/>
          <w:sz w:val="28"/>
          <w:lang w:eastAsia="zh-CN" w:bidi="hi-IN"/>
        </w:rPr>
        <w:t xml:space="preserve">Необхідно зазначити, що 2149 СГД із загальною сумою боргу                     </w:t>
      </w:r>
      <w:r>
        <w:rPr>
          <w:kern w:val="2"/>
          <w:sz w:val="28"/>
          <w:lang w:eastAsia="zh-CN" w:bidi="hi-IN"/>
        </w:rPr>
        <w:lastRenderedPageBreak/>
        <w:t>608,9</w:t>
      </w:r>
      <w:r w:rsidR="006833B9">
        <w:rPr>
          <w:kern w:val="2"/>
          <w:sz w:val="28"/>
          <w:lang w:eastAsia="zh-CN" w:bidi="hi-IN"/>
        </w:rPr>
        <w:t xml:space="preserve"> </w:t>
      </w:r>
      <w:r>
        <w:rPr>
          <w:kern w:val="2"/>
          <w:sz w:val="28"/>
          <w:lang w:eastAsia="zh-CN" w:bidi="hi-IN"/>
        </w:rPr>
        <w:t>тис.</w:t>
      </w:r>
      <w:r w:rsidR="006833B9">
        <w:rPr>
          <w:kern w:val="2"/>
          <w:sz w:val="28"/>
          <w:lang w:eastAsia="zh-CN" w:bidi="hi-IN"/>
        </w:rPr>
        <w:t xml:space="preserve"> </w:t>
      </w:r>
      <w:r>
        <w:rPr>
          <w:kern w:val="2"/>
          <w:sz w:val="28"/>
          <w:lang w:eastAsia="zh-CN" w:bidi="hi-IN"/>
        </w:rPr>
        <w:t xml:space="preserve">грн. мають заборгованість менше </w:t>
      </w:r>
      <w:r>
        <w:rPr>
          <w:kern w:val="2"/>
          <w:sz w:val="28"/>
          <w:szCs w:val="28"/>
          <w:lang w:eastAsia="zh-CN" w:bidi="hi-IN"/>
        </w:rPr>
        <w:t>ніж шістдесят неоподатковуваних мінімумів доходів громадян (1</w:t>
      </w:r>
      <w:r w:rsidR="006833B9">
        <w:rPr>
          <w:kern w:val="2"/>
          <w:sz w:val="28"/>
          <w:szCs w:val="28"/>
          <w:lang w:eastAsia="zh-CN" w:bidi="hi-IN"/>
        </w:rPr>
        <w:t xml:space="preserve"> </w:t>
      </w:r>
      <w:r>
        <w:rPr>
          <w:kern w:val="2"/>
          <w:sz w:val="28"/>
          <w:szCs w:val="28"/>
          <w:lang w:eastAsia="zh-CN" w:bidi="hi-IN"/>
        </w:rPr>
        <w:t>020</w:t>
      </w:r>
      <w:r w:rsidR="006833B9">
        <w:rPr>
          <w:kern w:val="2"/>
          <w:sz w:val="28"/>
          <w:szCs w:val="28"/>
          <w:lang w:eastAsia="zh-CN" w:bidi="hi-IN"/>
        </w:rPr>
        <w:t xml:space="preserve"> </w:t>
      </w:r>
      <w:r>
        <w:rPr>
          <w:kern w:val="2"/>
          <w:sz w:val="28"/>
          <w:szCs w:val="28"/>
          <w:lang w:eastAsia="zh-CN" w:bidi="hi-IN"/>
        </w:rPr>
        <w:t>грн.). Постійно вживаються заходи,</w:t>
      </w:r>
      <w:r>
        <w:rPr>
          <w:kern w:val="2"/>
          <w:sz w:val="28"/>
          <w:lang w:eastAsia="zh-CN" w:bidi="hi-IN"/>
        </w:rPr>
        <w:t xml:space="preserve"> спрямовані на зменшення заборгованості.</w:t>
      </w:r>
    </w:p>
    <w:p w:rsidR="0018163B" w:rsidRDefault="0018163B" w:rsidP="0018163B">
      <w:pPr>
        <w:autoSpaceDE w:val="0"/>
        <w:autoSpaceDN w:val="0"/>
        <w:adjustRightInd w:val="0"/>
        <w:spacing w:after="120"/>
        <w:ind w:firstLine="720"/>
        <w:jc w:val="both"/>
        <w:rPr>
          <w:kern w:val="2"/>
          <w:sz w:val="28"/>
        </w:rPr>
      </w:pPr>
      <w:r>
        <w:rPr>
          <w:kern w:val="2"/>
          <w:sz w:val="28"/>
          <w:lang w:eastAsia="zh-CN" w:bidi="hi-IN"/>
        </w:rPr>
        <w:t xml:space="preserve">Так, </w:t>
      </w:r>
      <w:r>
        <w:rPr>
          <w:kern w:val="2"/>
          <w:sz w:val="28"/>
          <w:lang w:val="ru-RU" w:eastAsia="zh-CN" w:bidi="hi-IN"/>
        </w:rPr>
        <w:t>125</w:t>
      </w:r>
      <w:r>
        <w:rPr>
          <w:kern w:val="2"/>
          <w:sz w:val="28"/>
          <w:lang w:eastAsia="zh-CN" w:bidi="hi-IN"/>
        </w:rPr>
        <w:t xml:space="preserve"> боржників із загальною сумою боргу </w:t>
      </w:r>
      <w:r>
        <w:rPr>
          <w:kern w:val="2"/>
          <w:sz w:val="28"/>
          <w:lang w:val="ru-RU" w:eastAsia="zh-CN" w:bidi="hi-IN"/>
        </w:rPr>
        <w:t>1 409</w:t>
      </w:r>
      <w:r>
        <w:rPr>
          <w:kern w:val="2"/>
          <w:sz w:val="28"/>
          <w:lang w:eastAsia="zh-CN" w:bidi="hi-IN"/>
        </w:rPr>
        <w:t>,8 тис.</w:t>
      </w:r>
      <w:r w:rsidR="006833B9">
        <w:rPr>
          <w:kern w:val="2"/>
          <w:sz w:val="28"/>
          <w:lang w:eastAsia="zh-CN" w:bidi="hi-IN"/>
        </w:rPr>
        <w:t xml:space="preserve"> </w:t>
      </w:r>
      <w:r>
        <w:rPr>
          <w:kern w:val="2"/>
          <w:sz w:val="28"/>
          <w:lang w:eastAsia="zh-CN" w:bidi="hi-IN"/>
        </w:rPr>
        <w:t xml:space="preserve">грн. </w:t>
      </w:r>
      <w:r>
        <w:rPr>
          <w:kern w:val="2"/>
          <w:sz w:val="28"/>
        </w:rPr>
        <w:t>знаходяться на примусовому виконанні у державній виконавчій службі.</w:t>
      </w:r>
    </w:p>
    <w:p w:rsidR="0018163B" w:rsidRDefault="0018163B" w:rsidP="0018163B">
      <w:pPr>
        <w:autoSpaceDE w:val="0"/>
        <w:autoSpaceDN w:val="0"/>
        <w:adjustRightInd w:val="0"/>
        <w:spacing w:after="120"/>
        <w:ind w:firstLine="720"/>
        <w:jc w:val="both"/>
        <w:rPr>
          <w:kern w:val="2"/>
          <w:sz w:val="28"/>
        </w:rPr>
      </w:pPr>
      <w:r>
        <w:rPr>
          <w:kern w:val="2"/>
          <w:sz w:val="28"/>
        </w:rPr>
        <w:t>13 СГД на загальну суму боргу 935,2 тис.</w:t>
      </w:r>
      <w:r w:rsidR="006833B9">
        <w:rPr>
          <w:kern w:val="2"/>
          <w:sz w:val="28"/>
        </w:rPr>
        <w:t xml:space="preserve"> </w:t>
      </w:r>
      <w:r>
        <w:rPr>
          <w:kern w:val="2"/>
          <w:sz w:val="28"/>
        </w:rPr>
        <w:t xml:space="preserve">грн. знаходяться у стадії ліквідації – платниками самостійно подано заяву на припинення підприємницької діяльності. </w:t>
      </w:r>
    </w:p>
    <w:p w:rsidR="0018163B" w:rsidRDefault="0018163B" w:rsidP="0018163B">
      <w:pPr>
        <w:autoSpaceDE w:val="0"/>
        <w:autoSpaceDN w:val="0"/>
        <w:adjustRightInd w:val="0"/>
        <w:spacing w:after="120"/>
        <w:ind w:firstLine="720"/>
        <w:jc w:val="both"/>
        <w:rPr>
          <w:bCs/>
          <w:color w:val="FF0000"/>
          <w:kern w:val="2"/>
          <w:sz w:val="28"/>
          <w:szCs w:val="28"/>
        </w:rPr>
      </w:pPr>
      <w:r>
        <w:rPr>
          <w:kern w:val="2"/>
          <w:sz w:val="28"/>
        </w:rPr>
        <w:t>По 43 боржниках заборгованість на загальну суму 4 411,8 тис.</w:t>
      </w:r>
      <w:r w:rsidR="006833B9">
        <w:rPr>
          <w:kern w:val="2"/>
          <w:sz w:val="28"/>
        </w:rPr>
        <w:t xml:space="preserve"> </w:t>
      </w:r>
      <w:r>
        <w:rPr>
          <w:kern w:val="2"/>
          <w:sz w:val="28"/>
        </w:rPr>
        <w:t>грн. стягується шляхом виставлення інкасових доручень до установ банків, що обслуговують таких боржників.</w:t>
      </w:r>
    </w:p>
    <w:p w:rsidR="0018163B" w:rsidRDefault="0018163B" w:rsidP="0018163B">
      <w:pPr>
        <w:ind w:firstLine="709"/>
        <w:jc w:val="both"/>
        <w:rPr>
          <w:color w:val="FF0000"/>
          <w:sz w:val="28"/>
          <w:szCs w:val="28"/>
        </w:rPr>
      </w:pPr>
    </w:p>
    <w:p w:rsidR="00D61483" w:rsidRPr="006833B9" w:rsidRDefault="00D61483" w:rsidP="00D61483">
      <w:pPr>
        <w:pStyle w:val="a3"/>
        <w:rPr>
          <w:szCs w:val="28"/>
        </w:rPr>
      </w:pPr>
      <w:r w:rsidRPr="006833B9">
        <w:rPr>
          <w:szCs w:val="28"/>
        </w:rPr>
        <w:t>ВИДАТКИ</w:t>
      </w:r>
    </w:p>
    <w:p w:rsidR="00D61483" w:rsidRDefault="00D61483" w:rsidP="00D61483">
      <w:pPr>
        <w:pStyle w:val="a3"/>
        <w:ind w:firstLine="709"/>
        <w:jc w:val="both"/>
        <w:rPr>
          <w:b w:val="0"/>
          <w:i/>
          <w:szCs w:val="28"/>
        </w:rPr>
      </w:pPr>
    </w:p>
    <w:p w:rsidR="00D61483" w:rsidRDefault="00D61483" w:rsidP="006833B9">
      <w:pPr>
        <w:tabs>
          <w:tab w:val="left" w:pos="709"/>
        </w:tabs>
        <w:ind w:firstLine="709"/>
        <w:jc w:val="both"/>
        <w:rPr>
          <w:sz w:val="28"/>
          <w:szCs w:val="28"/>
        </w:rPr>
      </w:pPr>
      <w:r>
        <w:rPr>
          <w:sz w:val="28"/>
          <w:szCs w:val="28"/>
        </w:rPr>
        <w:t xml:space="preserve">Видатки міського бюджету міста на 2017 рік були затверджені в обсязі               1 903 573,3  тис. грн.,  в тому числі: загальний фонд – 1 749 437,9 тис. грн., спеціальний фонд – 154 135,3 тис. грн., з них бюджет розвитку –   </w:t>
      </w:r>
      <w:r w:rsidR="006833B9">
        <w:rPr>
          <w:sz w:val="28"/>
          <w:szCs w:val="28"/>
        </w:rPr>
        <w:t xml:space="preserve">                      </w:t>
      </w:r>
      <w:r>
        <w:rPr>
          <w:sz w:val="28"/>
          <w:szCs w:val="28"/>
        </w:rPr>
        <w:t>111 864,2 тис. грн. Видатки на кредитування по спеціальному фонду передбачені в сумі 2 343,6 тис. грн.</w:t>
      </w:r>
    </w:p>
    <w:p w:rsidR="00D61483" w:rsidRDefault="00D61483" w:rsidP="00D61483">
      <w:pPr>
        <w:pStyle w:val="FR1"/>
        <w:tabs>
          <w:tab w:val="left" w:pos="1440"/>
        </w:tabs>
        <w:suppressAutoHyphens/>
        <w:spacing w:line="240" w:lineRule="auto"/>
        <w:ind w:firstLine="709"/>
        <w:jc w:val="both"/>
        <w:rPr>
          <w:szCs w:val="28"/>
        </w:rPr>
      </w:pPr>
      <w:r>
        <w:rPr>
          <w:szCs w:val="28"/>
        </w:rPr>
        <w:t>Видатки загального фонду міського бюджету враховують трансферти з державного бюджету в сумі 939 304,2 тис. грн., а саме:</w:t>
      </w:r>
    </w:p>
    <w:p w:rsidR="00D61483" w:rsidRDefault="00D61483" w:rsidP="00D61483">
      <w:pPr>
        <w:pStyle w:val="FR1"/>
        <w:tabs>
          <w:tab w:val="left" w:pos="1440"/>
        </w:tabs>
        <w:suppressAutoHyphens/>
        <w:spacing w:line="240" w:lineRule="auto"/>
        <w:ind w:firstLine="709"/>
        <w:jc w:val="both"/>
        <w:rPr>
          <w:szCs w:val="28"/>
        </w:rPr>
      </w:pPr>
      <w:r>
        <w:rPr>
          <w:szCs w:val="28"/>
        </w:rPr>
        <w:t>- субвенція з державного бюджету місцевим бюджетам на виплату допомоги сім'ям з дітьми, малозабезпеченим сім'ям, інвалідам з дитинства, дітям-інвалідам, тимчасової державної допомоги дітям та допомоги по догляду за інвалідами І чи ІІ групи внаслідок психічног</w:t>
      </w:r>
      <w:r w:rsidR="006F5C55">
        <w:rPr>
          <w:szCs w:val="28"/>
        </w:rPr>
        <w:t>о розладу – 219 885,0 тис. грн.;</w:t>
      </w:r>
    </w:p>
    <w:p w:rsidR="00D61483" w:rsidRDefault="00D61483" w:rsidP="00D61483">
      <w:pPr>
        <w:pStyle w:val="FR1"/>
        <w:tabs>
          <w:tab w:val="left" w:pos="1440"/>
        </w:tabs>
        <w:suppressAutoHyphens/>
        <w:spacing w:line="240" w:lineRule="auto"/>
        <w:ind w:firstLine="709"/>
        <w:jc w:val="both"/>
        <w:rPr>
          <w:szCs w:val="28"/>
        </w:rPr>
      </w:pPr>
      <w:r>
        <w:rPr>
          <w:szCs w:val="28"/>
        </w:rPr>
        <w:t xml:space="preserve">- субвенція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w:t>
      </w:r>
      <w:r>
        <w:rPr>
          <w:bCs/>
          <w:szCs w:val="28"/>
        </w:rPr>
        <w:t>вивезення побутового сміття та рідких нечистот</w:t>
      </w:r>
      <w:r w:rsidR="006F5C55">
        <w:rPr>
          <w:szCs w:val="28"/>
        </w:rPr>
        <w:t xml:space="preserve"> – 371 405,1 тис. грн.;</w:t>
      </w:r>
    </w:p>
    <w:p w:rsidR="00D61483" w:rsidRDefault="00D61483" w:rsidP="00D61483">
      <w:pPr>
        <w:pStyle w:val="FR1"/>
        <w:tabs>
          <w:tab w:val="left" w:pos="1440"/>
        </w:tabs>
        <w:suppressAutoHyphens/>
        <w:spacing w:line="240" w:lineRule="auto"/>
        <w:ind w:firstLine="709"/>
        <w:jc w:val="both"/>
        <w:rPr>
          <w:szCs w:val="28"/>
        </w:rPr>
      </w:pPr>
      <w:r>
        <w:rPr>
          <w:szCs w:val="28"/>
        </w:rPr>
        <w:t>- субвенція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 – 435,0 тис. грн.;</w:t>
      </w:r>
    </w:p>
    <w:p w:rsidR="00D61483" w:rsidRDefault="00D61483" w:rsidP="00D61483">
      <w:pPr>
        <w:pStyle w:val="FR1"/>
        <w:tabs>
          <w:tab w:val="left" w:pos="1440"/>
        </w:tabs>
        <w:suppressAutoHyphens/>
        <w:spacing w:line="240" w:lineRule="auto"/>
        <w:ind w:firstLine="709"/>
        <w:jc w:val="both"/>
        <w:rPr>
          <w:szCs w:val="28"/>
        </w:rPr>
      </w:pPr>
      <w:r>
        <w:rPr>
          <w:szCs w:val="28"/>
        </w:rPr>
        <w:t>- освітня субвенція з державного бюджету місцевим бюджетам – 156 692,1 тис. грн.;</w:t>
      </w:r>
    </w:p>
    <w:p w:rsidR="00D61483" w:rsidRDefault="00D61483" w:rsidP="00D61483">
      <w:pPr>
        <w:pStyle w:val="FR1"/>
        <w:tabs>
          <w:tab w:val="left" w:pos="1440"/>
        </w:tabs>
        <w:suppressAutoHyphens/>
        <w:spacing w:line="240" w:lineRule="auto"/>
        <w:ind w:firstLine="709"/>
        <w:jc w:val="both"/>
        <w:rPr>
          <w:szCs w:val="28"/>
        </w:rPr>
      </w:pPr>
      <w:r>
        <w:rPr>
          <w:szCs w:val="28"/>
        </w:rPr>
        <w:t>- медична субвенція з державного бюджету місцевим бюджетам – 188 649,2 тис. грн.;</w:t>
      </w:r>
    </w:p>
    <w:p w:rsidR="00D61483" w:rsidRDefault="00D61483" w:rsidP="00D61483">
      <w:pPr>
        <w:pStyle w:val="FR1"/>
        <w:tabs>
          <w:tab w:val="left" w:pos="1440"/>
        </w:tabs>
        <w:suppressAutoHyphens/>
        <w:spacing w:line="240" w:lineRule="auto"/>
        <w:ind w:firstLine="709"/>
        <w:jc w:val="both"/>
        <w:rPr>
          <w:szCs w:val="28"/>
        </w:rPr>
      </w:pPr>
      <w:r>
        <w:rPr>
          <w:szCs w:val="28"/>
        </w:rPr>
        <w:t xml:space="preserve">- інші субвенції – 1 659,0 тис. грн. (411, 0 тис. грн. – субвенція з обласного бюджету на пільгове медичне обслуговування осіб, які постраждали внаслідок Чорнобильської катастрофи, видатки на поховання учасників бойових дій і інвалідів війни, встановлення телефонів інвалідам І та ІІ групи; </w:t>
      </w:r>
      <w:r w:rsidR="006833B9">
        <w:rPr>
          <w:szCs w:val="28"/>
        </w:rPr>
        <w:t xml:space="preserve">               </w:t>
      </w:r>
      <w:r w:rsidR="006F5C55">
        <w:rPr>
          <w:szCs w:val="28"/>
        </w:rPr>
        <w:t>1 248,0 тис. грн.</w:t>
      </w:r>
      <w:r>
        <w:rPr>
          <w:szCs w:val="28"/>
        </w:rPr>
        <w:t xml:space="preserve"> - субвенція з обласного бюджету на часткову оплату вартості путівки до дитячого закладу оздоровлення та відпочинку області для оздоровлення дітей, які виховуються в сім’ях з дітьми);</w:t>
      </w:r>
    </w:p>
    <w:p w:rsidR="00D61483" w:rsidRDefault="00D61483" w:rsidP="00D61483">
      <w:pPr>
        <w:pStyle w:val="FR1"/>
        <w:tabs>
          <w:tab w:val="left" w:pos="1440"/>
        </w:tabs>
        <w:suppressAutoHyphens/>
        <w:spacing w:line="240" w:lineRule="auto"/>
        <w:ind w:firstLine="709"/>
        <w:jc w:val="both"/>
        <w:rPr>
          <w:szCs w:val="28"/>
        </w:rPr>
      </w:pPr>
      <w:r>
        <w:rPr>
          <w:szCs w:val="28"/>
        </w:rPr>
        <w:t xml:space="preserve">- субвенція з державного бюджету місцевим бюджетам на виплату державної соціальної допомоги на дітей-сиріт та дітей, позбавлених </w:t>
      </w:r>
      <w:r>
        <w:rPr>
          <w:szCs w:val="28"/>
        </w:rPr>
        <w:lastRenderedPageBreak/>
        <w:t>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w:t>
      </w:r>
      <w:r w:rsidR="006F5C55">
        <w:rPr>
          <w:szCs w:val="28"/>
        </w:rPr>
        <w:t xml:space="preserve"> прийомних сім’ях за принципом «</w:t>
      </w:r>
      <w:r>
        <w:rPr>
          <w:szCs w:val="28"/>
        </w:rPr>
        <w:t>гроші ходять за дити</w:t>
      </w:r>
      <w:r w:rsidR="006F5C55">
        <w:rPr>
          <w:szCs w:val="28"/>
        </w:rPr>
        <w:t>ною»</w:t>
      </w:r>
      <w:r>
        <w:rPr>
          <w:szCs w:val="28"/>
        </w:rPr>
        <w:t xml:space="preserve">, оплату послуг із здійснення патронату над дитиною та виплату соціальної допомоги на утримання дитини в сім’ї патронатного вихователя у  сумі </w:t>
      </w:r>
      <w:r w:rsidR="006833B9">
        <w:rPr>
          <w:szCs w:val="28"/>
        </w:rPr>
        <w:t xml:space="preserve">                 </w:t>
      </w:r>
      <w:r>
        <w:rPr>
          <w:szCs w:val="28"/>
        </w:rPr>
        <w:t>578,8 тис. грн.</w:t>
      </w:r>
    </w:p>
    <w:p w:rsidR="00D61483" w:rsidRDefault="00D61483" w:rsidP="00D61483">
      <w:pPr>
        <w:ind w:firstLine="709"/>
        <w:jc w:val="both"/>
        <w:rPr>
          <w:sz w:val="28"/>
          <w:szCs w:val="28"/>
        </w:rPr>
      </w:pPr>
      <w:r>
        <w:rPr>
          <w:sz w:val="28"/>
          <w:szCs w:val="28"/>
        </w:rPr>
        <w:t xml:space="preserve">Протягом І півріччя поточного року видатки </w:t>
      </w:r>
      <w:r>
        <w:rPr>
          <w:b/>
          <w:sz w:val="28"/>
          <w:szCs w:val="28"/>
        </w:rPr>
        <w:t>загального фонду</w:t>
      </w:r>
      <w:r>
        <w:rPr>
          <w:sz w:val="28"/>
          <w:szCs w:val="28"/>
        </w:rPr>
        <w:t xml:space="preserve">  були збільшені на 95 105,8 тис. грн., в </w:t>
      </w:r>
      <w:proofErr w:type="spellStart"/>
      <w:r>
        <w:rPr>
          <w:sz w:val="28"/>
          <w:szCs w:val="28"/>
        </w:rPr>
        <w:t>т.ч</w:t>
      </w:r>
      <w:proofErr w:type="spellEnd"/>
      <w:r>
        <w:rPr>
          <w:sz w:val="28"/>
          <w:szCs w:val="28"/>
        </w:rPr>
        <w:t>.:</w:t>
      </w:r>
    </w:p>
    <w:p w:rsidR="00D61483" w:rsidRDefault="00D61483" w:rsidP="00D61483">
      <w:pPr>
        <w:ind w:firstLine="709"/>
        <w:jc w:val="both"/>
        <w:rPr>
          <w:sz w:val="28"/>
          <w:szCs w:val="28"/>
        </w:rPr>
      </w:pPr>
      <w:r>
        <w:rPr>
          <w:sz w:val="28"/>
          <w:szCs w:val="28"/>
        </w:rPr>
        <w:t>- за рахунок затвердження дефіциту бюджету  (виділення коштів за рахунок вільного залишку бюджетних коштів) на суму 28 279,5 тис. грн.;</w:t>
      </w:r>
    </w:p>
    <w:p w:rsidR="00D61483" w:rsidRDefault="00D61483" w:rsidP="00D61483">
      <w:pPr>
        <w:ind w:firstLine="709"/>
        <w:jc w:val="both"/>
        <w:rPr>
          <w:sz w:val="28"/>
          <w:szCs w:val="28"/>
        </w:rPr>
      </w:pPr>
      <w:r>
        <w:rPr>
          <w:sz w:val="28"/>
          <w:szCs w:val="28"/>
        </w:rPr>
        <w:t>- внесення змін до доходів бюджету – 6 219,1 тис. грн.;</w:t>
      </w:r>
    </w:p>
    <w:p w:rsidR="00D61483" w:rsidRDefault="00D61483" w:rsidP="00D61483">
      <w:pPr>
        <w:ind w:firstLine="709"/>
        <w:jc w:val="both"/>
        <w:rPr>
          <w:sz w:val="28"/>
          <w:szCs w:val="28"/>
        </w:rPr>
      </w:pPr>
      <w:r>
        <w:rPr>
          <w:sz w:val="28"/>
          <w:szCs w:val="28"/>
        </w:rPr>
        <w:t>- за рахунок трансфертів з державного бюджету на 56 396,5 тис. грн.</w:t>
      </w:r>
      <w:r w:rsidR="006F5C55">
        <w:rPr>
          <w:sz w:val="28"/>
          <w:szCs w:val="28"/>
        </w:rPr>
        <w:t>;</w:t>
      </w:r>
    </w:p>
    <w:p w:rsidR="00D61483" w:rsidRPr="006833B9" w:rsidRDefault="00D61483" w:rsidP="00D61483">
      <w:pPr>
        <w:pStyle w:val="a3"/>
        <w:ind w:firstLine="709"/>
        <w:jc w:val="both"/>
        <w:rPr>
          <w:b w:val="0"/>
          <w:szCs w:val="28"/>
        </w:rPr>
      </w:pPr>
      <w:r>
        <w:rPr>
          <w:b w:val="0"/>
          <w:i/>
          <w:szCs w:val="28"/>
        </w:rPr>
        <w:t xml:space="preserve">- </w:t>
      </w:r>
      <w:r w:rsidRPr="006833B9">
        <w:rPr>
          <w:b w:val="0"/>
          <w:szCs w:val="28"/>
        </w:rPr>
        <w:t>за рахунок зменшення передачі із загального до спеціального фонду на 4 210,7 тис. грн.</w:t>
      </w:r>
    </w:p>
    <w:p w:rsidR="00D61483" w:rsidRPr="006833B9" w:rsidRDefault="00D61483" w:rsidP="006833B9">
      <w:pPr>
        <w:pStyle w:val="a3"/>
        <w:tabs>
          <w:tab w:val="left" w:pos="709"/>
        </w:tabs>
        <w:ind w:firstLine="709"/>
        <w:jc w:val="both"/>
        <w:rPr>
          <w:b w:val="0"/>
          <w:szCs w:val="28"/>
        </w:rPr>
      </w:pPr>
      <w:r w:rsidRPr="006833B9">
        <w:rPr>
          <w:b w:val="0"/>
          <w:szCs w:val="28"/>
        </w:rPr>
        <w:t xml:space="preserve">Затверджені видатки </w:t>
      </w:r>
      <w:r w:rsidRPr="006833B9">
        <w:rPr>
          <w:szCs w:val="28"/>
        </w:rPr>
        <w:t>спеціального фонду</w:t>
      </w:r>
      <w:r w:rsidRPr="006833B9">
        <w:rPr>
          <w:b w:val="0"/>
          <w:szCs w:val="28"/>
        </w:rPr>
        <w:t xml:space="preserve"> були збільшені на </w:t>
      </w:r>
      <w:r w:rsidR="006833B9">
        <w:rPr>
          <w:b w:val="0"/>
          <w:szCs w:val="28"/>
        </w:rPr>
        <w:t xml:space="preserve">                 </w:t>
      </w:r>
      <w:r w:rsidRPr="006833B9">
        <w:rPr>
          <w:b w:val="0"/>
          <w:szCs w:val="28"/>
        </w:rPr>
        <w:t xml:space="preserve">134 937,0 тис. грн., в </w:t>
      </w:r>
      <w:proofErr w:type="spellStart"/>
      <w:r w:rsidRPr="006833B9">
        <w:rPr>
          <w:b w:val="0"/>
          <w:szCs w:val="28"/>
        </w:rPr>
        <w:t>т.ч</w:t>
      </w:r>
      <w:proofErr w:type="spellEnd"/>
      <w:r w:rsidRPr="006833B9">
        <w:rPr>
          <w:b w:val="0"/>
          <w:szCs w:val="28"/>
        </w:rPr>
        <w:t>.:</w:t>
      </w:r>
    </w:p>
    <w:p w:rsidR="00D61483" w:rsidRDefault="00D61483" w:rsidP="00D61483">
      <w:pPr>
        <w:ind w:firstLine="709"/>
        <w:jc w:val="both"/>
        <w:rPr>
          <w:sz w:val="28"/>
          <w:szCs w:val="28"/>
        </w:rPr>
      </w:pPr>
      <w:r>
        <w:rPr>
          <w:sz w:val="28"/>
          <w:szCs w:val="28"/>
        </w:rPr>
        <w:t xml:space="preserve">- за рахунок затвердження дефіциту бюджету (виділення коштів за рахунок залишку бюджетних коштів) – 109 942,3 тис. грн., </w:t>
      </w:r>
    </w:p>
    <w:p w:rsidR="00D61483" w:rsidRDefault="00D61483" w:rsidP="00D61483">
      <w:pPr>
        <w:ind w:firstLine="709"/>
        <w:jc w:val="both"/>
        <w:rPr>
          <w:sz w:val="28"/>
          <w:szCs w:val="28"/>
        </w:rPr>
      </w:pPr>
      <w:r>
        <w:rPr>
          <w:sz w:val="28"/>
          <w:szCs w:val="28"/>
        </w:rPr>
        <w:t>- внесення змін до доход</w:t>
      </w:r>
      <w:r w:rsidR="006F5C55">
        <w:rPr>
          <w:sz w:val="28"/>
          <w:szCs w:val="28"/>
        </w:rPr>
        <w:t>ів бюджету – 12 119,7 тис. грн.;</w:t>
      </w:r>
    </w:p>
    <w:p w:rsidR="00D61483" w:rsidRDefault="00D61483" w:rsidP="00D61483">
      <w:pPr>
        <w:ind w:firstLine="709"/>
        <w:jc w:val="both"/>
        <w:rPr>
          <w:sz w:val="28"/>
          <w:szCs w:val="28"/>
        </w:rPr>
      </w:pPr>
      <w:r>
        <w:rPr>
          <w:sz w:val="28"/>
          <w:szCs w:val="28"/>
        </w:rPr>
        <w:t>- за рахунок трансфертів з державного бюджету на 17 085,7 тис. грн.</w:t>
      </w:r>
      <w:r w:rsidR="006F5C55">
        <w:rPr>
          <w:sz w:val="28"/>
          <w:szCs w:val="28"/>
        </w:rPr>
        <w:t>;</w:t>
      </w:r>
    </w:p>
    <w:p w:rsidR="00D61483" w:rsidRDefault="00D61483" w:rsidP="00D61483">
      <w:pPr>
        <w:ind w:firstLine="709"/>
        <w:jc w:val="both"/>
        <w:rPr>
          <w:sz w:val="28"/>
          <w:szCs w:val="28"/>
        </w:rPr>
      </w:pPr>
      <w:r>
        <w:rPr>
          <w:sz w:val="28"/>
          <w:szCs w:val="28"/>
        </w:rPr>
        <w:t>- за рахунок зменшення передачі із загального на 4 210,7  тис. грн.</w:t>
      </w:r>
    </w:p>
    <w:p w:rsidR="00D61483" w:rsidRDefault="00D61483" w:rsidP="00D61483">
      <w:pPr>
        <w:ind w:firstLine="709"/>
        <w:jc w:val="both"/>
        <w:rPr>
          <w:sz w:val="28"/>
          <w:szCs w:val="28"/>
        </w:rPr>
      </w:pPr>
      <w:r>
        <w:rPr>
          <w:sz w:val="28"/>
          <w:szCs w:val="28"/>
        </w:rPr>
        <w:t xml:space="preserve">Кошторисні призначення бюджетних установ також були збільшені за рахунок збільшення власних надходжень до спеціального фонду. </w:t>
      </w:r>
    </w:p>
    <w:p w:rsidR="00D61483" w:rsidRDefault="00D61483" w:rsidP="00D61483">
      <w:pPr>
        <w:pStyle w:val="FR1"/>
        <w:tabs>
          <w:tab w:val="left" w:pos="1440"/>
        </w:tabs>
        <w:suppressAutoHyphens/>
        <w:spacing w:line="240" w:lineRule="auto"/>
        <w:ind w:firstLine="709"/>
        <w:jc w:val="both"/>
        <w:rPr>
          <w:szCs w:val="28"/>
        </w:rPr>
      </w:pPr>
      <w:r>
        <w:rPr>
          <w:szCs w:val="28"/>
        </w:rPr>
        <w:t>Таким чином, затверджені видатки міського бюджету міста Кременчука на 2017 рік з урахуванням внесених змін складають 2 135 675,0 тис. грн., в тому числі:</w:t>
      </w:r>
    </w:p>
    <w:p w:rsidR="00D61483" w:rsidRDefault="00D61483" w:rsidP="00D61483">
      <w:pPr>
        <w:pStyle w:val="FR1"/>
        <w:tabs>
          <w:tab w:val="num" w:pos="1260"/>
        </w:tabs>
        <w:suppressAutoHyphens/>
        <w:spacing w:line="240" w:lineRule="auto"/>
        <w:ind w:firstLine="709"/>
        <w:jc w:val="both"/>
        <w:rPr>
          <w:szCs w:val="28"/>
        </w:rPr>
      </w:pPr>
      <w:r>
        <w:rPr>
          <w:szCs w:val="28"/>
        </w:rPr>
        <w:t>- видатки загального фонду міського бюджету 1 844 543,7 тис. грн.</w:t>
      </w:r>
      <w:r w:rsidR="006F5C55">
        <w:rPr>
          <w:szCs w:val="28"/>
        </w:rPr>
        <w:t>;</w:t>
      </w:r>
    </w:p>
    <w:p w:rsidR="00D61483" w:rsidRDefault="00D61483" w:rsidP="00D61483">
      <w:pPr>
        <w:pStyle w:val="FR1"/>
        <w:tabs>
          <w:tab w:val="num" w:pos="1260"/>
        </w:tabs>
        <w:suppressAutoHyphens/>
        <w:spacing w:line="240" w:lineRule="auto"/>
        <w:ind w:firstLine="709"/>
        <w:jc w:val="both"/>
        <w:rPr>
          <w:szCs w:val="28"/>
        </w:rPr>
      </w:pPr>
      <w:r>
        <w:rPr>
          <w:szCs w:val="28"/>
        </w:rPr>
        <w:t>- кошторисні призначення на рік з урахуванням внесених змін по спеціальному фонду складають 291 131,3 тис. грн., в тому числі бюджет розвитку – 225 068,7 тис. грн.</w:t>
      </w:r>
    </w:p>
    <w:p w:rsidR="00D61483" w:rsidRDefault="00D61483" w:rsidP="00D61483">
      <w:pPr>
        <w:pStyle w:val="FR1"/>
        <w:tabs>
          <w:tab w:val="num" w:pos="1260"/>
        </w:tabs>
        <w:suppressAutoHyphens/>
        <w:spacing w:line="240" w:lineRule="auto"/>
        <w:ind w:firstLine="709"/>
        <w:jc w:val="both"/>
        <w:rPr>
          <w:szCs w:val="28"/>
        </w:rPr>
      </w:pPr>
      <w:r>
        <w:rPr>
          <w:szCs w:val="28"/>
        </w:rPr>
        <w:t xml:space="preserve">Обсяг видатків </w:t>
      </w:r>
      <w:r>
        <w:rPr>
          <w:b/>
          <w:szCs w:val="28"/>
        </w:rPr>
        <w:t>загального фонду</w:t>
      </w:r>
      <w:r>
        <w:rPr>
          <w:szCs w:val="28"/>
        </w:rPr>
        <w:t xml:space="preserve"> міського бюджету на І півріччя </w:t>
      </w:r>
      <w:r w:rsidR="006833B9">
        <w:rPr>
          <w:szCs w:val="28"/>
        </w:rPr>
        <w:t xml:space="preserve">              </w:t>
      </w:r>
      <w:r>
        <w:rPr>
          <w:szCs w:val="28"/>
        </w:rPr>
        <w:t xml:space="preserve">2017  року  передбачений в сумі 1 092 064,9 тис. грн., касові видатки склали 1 006 848,0 тис. грн., що складає 92,2% (касові видатки взяті зі звіту, наданого Управлінням Державної казначейської служби у м. </w:t>
      </w:r>
      <w:proofErr w:type="spellStart"/>
      <w:r>
        <w:rPr>
          <w:szCs w:val="28"/>
        </w:rPr>
        <w:t>Кременчуці</w:t>
      </w:r>
      <w:proofErr w:type="spellEnd"/>
      <w:r>
        <w:rPr>
          <w:szCs w:val="28"/>
        </w:rPr>
        <w:t xml:space="preserve"> Полтавської області).</w:t>
      </w:r>
    </w:p>
    <w:p w:rsidR="00D61483" w:rsidRDefault="00D61483" w:rsidP="00D61483">
      <w:pPr>
        <w:pStyle w:val="FR1"/>
        <w:tabs>
          <w:tab w:val="num" w:pos="1260"/>
        </w:tabs>
        <w:suppressAutoHyphens/>
        <w:spacing w:line="240" w:lineRule="auto"/>
        <w:ind w:firstLine="709"/>
        <w:jc w:val="both"/>
        <w:rPr>
          <w:szCs w:val="28"/>
        </w:rPr>
      </w:pPr>
      <w:r>
        <w:rPr>
          <w:szCs w:val="28"/>
        </w:rPr>
        <w:t xml:space="preserve">Установами та закладами, які фінансуються з міського бюджету за </w:t>
      </w:r>
      <w:r w:rsidR="006833B9">
        <w:rPr>
          <w:szCs w:val="28"/>
        </w:rPr>
        <w:t xml:space="preserve">           </w:t>
      </w:r>
      <w:r>
        <w:rPr>
          <w:szCs w:val="28"/>
        </w:rPr>
        <w:t xml:space="preserve">І півріччя 2017 року витрачено коштів </w:t>
      </w:r>
      <w:r>
        <w:rPr>
          <w:b/>
          <w:szCs w:val="28"/>
        </w:rPr>
        <w:t>спеціального фонду</w:t>
      </w:r>
      <w:r>
        <w:rPr>
          <w:szCs w:val="28"/>
        </w:rPr>
        <w:t xml:space="preserve"> на суму </w:t>
      </w:r>
      <w:r w:rsidR="006833B9">
        <w:rPr>
          <w:szCs w:val="28"/>
        </w:rPr>
        <w:t xml:space="preserve">                   </w:t>
      </w:r>
      <w:r>
        <w:rPr>
          <w:szCs w:val="28"/>
        </w:rPr>
        <w:t xml:space="preserve">107 142,9 тис. грн., що складає 36,8% уточнених асигнувань на рік. </w:t>
      </w:r>
    </w:p>
    <w:p w:rsidR="00D61483" w:rsidRDefault="00D61483" w:rsidP="00D61483">
      <w:pPr>
        <w:pStyle w:val="FR1"/>
        <w:tabs>
          <w:tab w:val="num" w:pos="1260"/>
        </w:tabs>
        <w:suppressAutoHyphens/>
        <w:spacing w:line="240" w:lineRule="auto"/>
        <w:ind w:firstLine="709"/>
        <w:jc w:val="both"/>
        <w:rPr>
          <w:szCs w:val="28"/>
        </w:rPr>
      </w:pPr>
      <w:r>
        <w:rPr>
          <w:szCs w:val="28"/>
        </w:rPr>
        <w:t xml:space="preserve">Видатки загального фонду на заробітну плату з нарахуваннями працівникам бюджетної сфери за І півріччя 2017 року склали </w:t>
      </w:r>
      <w:r>
        <w:rPr>
          <w:szCs w:val="28"/>
          <w:lang w:val="ru-RU"/>
        </w:rPr>
        <w:t>391 363,9</w:t>
      </w:r>
      <w:r>
        <w:rPr>
          <w:szCs w:val="28"/>
        </w:rPr>
        <w:t xml:space="preserve"> тис. грн. при планових призначеннях </w:t>
      </w:r>
      <w:r>
        <w:rPr>
          <w:szCs w:val="28"/>
          <w:lang w:val="ru-RU"/>
        </w:rPr>
        <w:t>399 485,5</w:t>
      </w:r>
      <w:r>
        <w:rPr>
          <w:szCs w:val="28"/>
        </w:rPr>
        <w:t xml:space="preserve"> тис. грн., що складає 9</w:t>
      </w:r>
      <w:r>
        <w:rPr>
          <w:szCs w:val="28"/>
          <w:lang w:val="ru-RU"/>
        </w:rPr>
        <w:t>8,0</w:t>
      </w:r>
      <w:r>
        <w:rPr>
          <w:szCs w:val="28"/>
        </w:rPr>
        <w:t xml:space="preserve">%. Питома вага видатків на заробітну плату з нарахуваннями в загальних видатках склала </w:t>
      </w:r>
      <w:r>
        <w:rPr>
          <w:szCs w:val="28"/>
          <w:lang w:val="ru-RU"/>
        </w:rPr>
        <w:t>38,9</w:t>
      </w:r>
      <w:r>
        <w:rPr>
          <w:szCs w:val="28"/>
        </w:rPr>
        <w:t xml:space="preserve">%. </w:t>
      </w:r>
    </w:p>
    <w:p w:rsidR="00D61483" w:rsidRDefault="00D61483" w:rsidP="00D61483">
      <w:pPr>
        <w:suppressAutoHyphens/>
        <w:ind w:firstLine="709"/>
        <w:jc w:val="both"/>
        <w:rPr>
          <w:sz w:val="28"/>
          <w:szCs w:val="28"/>
        </w:rPr>
      </w:pPr>
      <w:r>
        <w:rPr>
          <w:sz w:val="28"/>
          <w:szCs w:val="28"/>
        </w:rPr>
        <w:t xml:space="preserve">За рахунок спеціального фонду  на виплату заробітної плати направлено           3 141,1 тис. грн. (заробітна плата працівників, які надають платні послуги в бюджетних установах відповідно до законодавства). </w:t>
      </w:r>
    </w:p>
    <w:p w:rsidR="00D61483" w:rsidRDefault="00D61483" w:rsidP="00D61483">
      <w:pPr>
        <w:suppressAutoHyphens/>
        <w:ind w:firstLine="709"/>
        <w:jc w:val="both"/>
        <w:rPr>
          <w:sz w:val="28"/>
          <w:szCs w:val="28"/>
        </w:rPr>
      </w:pPr>
      <w:r>
        <w:rPr>
          <w:sz w:val="28"/>
          <w:szCs w:val="28"/>
        </w:rPr>
        <w:lastRenderedPageBreak/>
        <w:t xml:space="preserve">Видатки загального фонду на медикаменти при плані на І півріччя </w:t>
      </w:r>
      <w:r w:rsidR="006833B9">
        <w:rPr>
          <w:sz w:val="28"/>
          <w:szCs w:val="28"/>
        </w:rPr>
        <w:t xml:space="preserve">                </w:t>
      </w:r>
      <w:r>
        <w:rPr>
          <w:sz w:val="28"/>
          <w:szCs w:val="28"/>
        </w:rPr>
        <w:t xml:space="preserve">2017 року 5 054,7 тис. грн. склали 4 920,5 тис. грн., що становить 97,4%. </w:t>
      </w:r>
    </w:p>
    <w:p w:rsidR="00D61483" w:rsidRDefault="00D61483" w:rsidP="00D61483">
      <w:pPr>
        <w:suppressAutoHyphens/>
        <w:ind w:firstLine="709"/>
        <w:jc w:val="both"/>
        <w:rPr>
          <w:sz w:val="28"/>
          <w:szCs w:val="28"/>
        </w:rPr>
      </w:pPr>
      <w:r>
        <w:rPr>
          <w:sz w:val="28"/>
          <w:szCs w:val="28"/>
        </w:rPr>
        <w:t>Видатки на  продукти   харчування при плані 13 329,8 тис. грн.,  склали 12 189,3 тис. грн., що становить 91,5%. Питома вага від загальних витрат загального фонду 1,2%. За рахунок коштів спеціального фонду витрачено 5 144,9 тис. грн.</w:t>
      </w:r>
    </w:p>
    <w:p w:rsidR="00D61483" w:rsidRPr="006833B9" w:rsidRDefault="00D61483" w:rsidP="00D61483">
      <w:pPr>
        <w:pStyle w:val="a3"/>
        <w:ind w:firstLine="709"/>
        <w:jc w:val="both"/>
        <w:rPr>
          <w:b w:val="0"/>
          <w:iCs/>
          <w:szCs w:val="28"/>
        </w:rPr>
      </w:pPr>
      <w:r w:rsidRPr="006833B9">
        <w:rPr>
          <w:b w:val="0"/>
          <w:szCs w:val="28"/>
        </w:rPr>
        <w:t xml:space="preserve">Видатки загального фонду на оплату комунальних послуг та енергоносіїв  при плані на І півріччя поточного року </w:t>
      </w:r>
      <w:r w:rsidRPr="006833B9">
        <w:rPr>
          <w:b w:val="0"/>
          <w:szCs w:val="28"/>
          <w:lang w:val="ru-RU"/>
        </w:rPr>
        <w:t>54 750,6</w:t>
      </w:r>
      <w:r w:rsidRPr="006833B9">
        <w:rPr>
          <w:b w:val="0"/>
          <w:szCs w:val="28"/>
        </w:rPr>
        <w:t xml:space="preserve"> тис. грн. склали </w:t>
      </w:r>
      <w:r w:rsidR="006833B9">
        <w:rPr>
          <w:b w:val="0"/>
          <w:szCs w:val="28"/>
        </w:rPr>
        <w:t xml:space="preserve">                         </w:t>
      </w:r>
      <w:r w:rsidRPr="006833B9">
        <w:rPr>
          <w:b w:val="0"/>
          <w:szCs w:val="28"/>
          <w:lang w:val="ru-RU"/>
        </w:rPr>
        <w:t>50 696,1</w:t>
      </w:r>
      <w:r w:rsidRPr="006833B9">
        <w:rPr>
          <w:b w:val="0"/>
          <w:szCs w:val="28"/>
        </w:rPr>
        <w:t xml:space="preserve"> тис. грн., що становить 92,</w:t>
      </w:r>
      <w:r w:rsidRPr="006833B9">
        <w:rPr>
          <w:b w:val="0"/>
          <w:szCs w:val="28"/>
          <w:lang w:val="ru-RU"/>
        </w:rPr>
        <w:t>6</w:t>
      </w:r>
      <w:r w:rsidRPr="006833B9">
        <w:rPr>
          <w:b w:val="0"/>
          <w:szCs w:val="28"/>
        </w:rPr>
        <w:t xml:space="preserve">%. Питома вага від загальних витрат загального фонду – </w:t>
      </w:r>
      <w:r w:rsidRPr="006833B9">
        <w:rPr>
          <w:b w:val="0"/>
          <w:szCs w:val="28"/>
          <w:lang w:val="ru-RU"/>
        </w:rPr>
        <w:t>5,0</w:t>
      </w:r>
      <w:r w:rsidRPr="006833B9">
        <w:rPr>
          <w:b w:val="0"/>
          <w:szCs w:val="28"/>
        </w:rPr>
        <w:t>%.  За рахунок коштів спеціального фонду витрачено  465,2 тис. грн.</w:t>
      </w:r>
      <w:r w:rsidRPr="006833B9">
        <w:rPr>
          <w:b w:val="0"/>
          <w:bCs w:val="0"/>
          <w:iCs/>
          <w:szCs w:val="28"/>
        </w:rPr>
        <w:t xml:space="preserve"> </w:t>
      </w:r>
    </w:p>
    <w:p w:rsidR="00D61483" w:rsidRDefault="00D61483" w:rsidP="00D61483">
      <w:pPr>
        <w:suppressAutoHyphens/>
        <w:ind w:firstLine="709"/>
        <w:jc w:val="both"/>
        <w:rPr>
          <w:sz w:val="28"/>
          <w:szCs w:val="28"/>
        </w:rPr>
      </w:pPr>
    </w:p>
    <w:p w:rsidR="00D61483" w:rsidRDefault="00D61483" w:rsidP="00D61483">
      <w:pPr>
        <w:suppressAutoHyphens/>
        <w:ind w:firstLine="709"/>
        <w:jc w:val="both"/>
        <w:rPr>
          <w:b/>
          <w:i/>
          <w:sz w:val="28"/>
          <w:szCs w:val="28"/>
        </w:rPr>
      </w:pPr>
      <w:r>
        <w:rPr>
          <w:sz w:val="28"/>
          <w:szCs w:val="28"/>
        </w:rPr>
        <w:t>Станом на 01.07.2017 року виникла кредиторська заборгованість по загальному фонду в сумі 257 920,7 тис. грн., в тому числі прострочена заборгованість  – 254 177,5 тис. грн., це головним чином  недоотримана субвенція з державного бюджету на пільги та субсидії, яка буде погашатися по мірі надходження коштів.</w:t>
      </w:r>
    </w:p>
    <w:p w:rsidR="00D61483" w:rsidRPr="006833B9" w:rsidRDefault="00D61483" w:rsidP="00D61483">
      <w:pPr>
        <w:pStyle w:val="a3"/>
        <w:ind w:firstLine="709"/>
        <w:jc w:val="both"/>
        <w:rPr>
          <w:b w:val="0"/>
          <w:szCs w:val="28"/>
        </w:rPr>
      </w:pPr>
    </w:p>
    <w:p w:rsidR="00D61483" w:rsidRPr="006833B9" w:rsidRDefault="00D61483" w:rsidP="00D61483">
      <w:pPr>
        <w:pStyle w:val="a3"/>
        <w:ind w:firstLine="709"/>
        <w:jc w:val="both"/>
        <w:rPr>
          <w:b w:val="0"/>
          <w:szCs w:val="28"/>
        </w:rPr>
      </w:pPr>
      <w:r w:rsidRPr="006833B9">
        <w:rPr>
          <w:b w:val="0"/>
          <w:szCs w:val="28"/>
        </w:rPr>
        <w:t>Видатки спеціального фонду на капітальні видатки при річному плані           239 752,4 тис. грн. склали 81 334,3 тис. грн., тобто 33,9%.</w:t>
      </w:r>
    </w:p>
    <w:p w:rsidR="00D61483" w:rsidRDefault="00D61483" w:rsidP="00D61483">
      <w:pPr>
        <w:pStyle w:val="a3"/>
        <w:ind w:firstLine="709"/>
        <w:jc w:val="both"/>
        <w:rPr>
          <w:b w:val="0"/>
          <w:szCs w:val="28"/>
        </w:rPr>
      </w:pPr>
      <w:r w:rsidRPr="006833B9">
        <w:rPr>
          <w:b w:val="0"/>
          <w:szCs w:val="28"/>
        </w:rPr>
        <w:t>Структура видатків бюджету м. Кременчука за І півріччя 2017 рік по основним галузям представлена у вигляді діаграми.</w:t>
      </w:r>
    </w:p>
    <w:p w:rsidR="006833B9" w:rsidRPr="006833B9" w:rsidRDefault="006833B9" w:rsidP="00D61483">
      <w:pPr>
        <w:pStyle w:val="a3"/>
        <w:ind w:firstLine="709"/>
        <w:jc w:val="both"/>
        <w:rPr>
          <w:b w:val="0"/>
          <w:szCs w:val="28"/>
        </w:rPr>
      </w:pPr>
    </w:p>
    <w:p w:rsidR="00D61483" w:rsidRDefault="00F5482C" w:rsidP="00D61483">
      <w:pPr>
        <w:pStyle w:val="a3"/>
        <w:jc w:val="both"/>
        <w:rPr>
          <w:b w:val="0"/>
          <w:i/>
          <w:szCs w:val="28"/>
        </w:rPr>
      </w:pPr>
      <w:r>
        <w:rPr>
          <w:b w:val="0"/>
          <w:i/>
          <w:noProof/>
          <w:szCs w:val="28"/>
          <w:lang w:val="ru-RU"/>
        </w:rPr>
        <w:drawing>
          <wp:inline distT="0" distB="0" distL="0" distR="0" wp14:anchorId="2D6184D5" wp14:editId="1131B22E">
            <wp:extent cx="6120765" cy="3124160"/>
            <wp:effectExtent l="19050" t="19050" r="13335" b="196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124160"/>
                    </a:xfrm>
                    <a:prstGeom prst="rect">
                      <a:avLst/>
                    </a:prstGeom>
                    <a:noFill/>
                    <a:ln w="3175">
                      <a:solidFill>
                        <a:schemeClr val="tx1"/>
                      </a:solidFill>
                    </a:ln>
                  </pic:spPr>
                </pic:pic>
              </a:graphicData>
            </a:graphic>
          </wp:inline>
        </w:drawing>
      </w:r>
    </w:p>
    <w:p w:rsidR="00D61483" w:rsidRDefault="00D61483" w:rsidP="00D61483">
      <w:pPr>
        <w:pStyle w:val="FR1"/>
        <w:tabs>
          <w:tab w:val="left" w:pos="1440"/>
        </w:tabs>
        <w:suppressAutoHyphens/>
        <w:spacing w:line="240" w:lineRule="auto"/>
        <w:ind w:firstLine="709"/>
        <w:jc w:val="both"/>
        <w:rPr>
          <w:szCs w:val="28"/>
          <w:lang w:val="en-US"/>
        </w:rPr>
      </w:pPr>
    </w:p>
    <w:p w:rsidR="00D61483" w:rsidRDefault="00D61483" w:rsidP="00D61483">
      <w:pPr>
        <w:suppressAutoHyphens/>
        <w:ind w:firstLine="709"/>
        <w:jc w:val="both"/>
        <w:rPr>
          <w:sz w:val="28"/>
          <w:szCs w:val="28"/>
        </w:rPr>
      </w:pPr>
      <w:r>
        <w:rPr>
          <w:sz w:val="28"/>
          <w:szCs w:val="28"/>
        </w:rPr>
        <w:t>Реверсна дотація передбачена на рік в сумі 41 659,3 тис. грн. За І півріччя</w:t>
      </w:r>
      <w:r w:rsidR="006F5C55">
        <w:rPr>
          <w:sz w:val="28"/>
          <w:szCs w:val="28"/>
        </w:rPr>
        <w:t xml:space="preserve"> 2017 року</w:t>
      </w:r>
      <w:r>
        <w:rPr>
          <w:sz w:val="28"/>
          <w:szCs w:val="28"/>
        </w:rPr>
        <w:t xml:space="preserve"> було вилучено 20 829,7 тис. грн. при плані 20 829,7 тис. грн., тобто  100,0%.</w:t>
      </w:r>
    </w:p>
    <w:p w:rsidR="00D61483" w:rsidRDefault="00D61483" w:rsidP="00D61483">
      <w:pPr>
        <w:suppressAutoHyphens/>
        <w:ind w:firstLine="709"/>
        <w:jc w:val="both"/>
        <w:rPr>
          <w:sz w:val="28"/>
          <w:szCs w:val="28"/>
        </w:rPr>
      </w:pPr>
    </w:p>
    <w:p w:rsidR="00D61483" w:rsidRDefault="00D61483" w:rsidP="00D61483">
      <w:pPr>
        <w:suppressAutoHyphens/>
        <w:ind w:firstLine="709"/>
        <w:jc w:val="both"/>
        <w:rPr>
          <w:sz w:val="28"/>
          <w:szCs w:val="28"/>
        </w:rPr>
      </w:pPr>
      <w:r>
        <w:rPr>
          <w:sz w:val="28"/>
          <w:szCs w:val="28"/>
        </w:rPr>
        <w:t xml:space="preserve">Для  відшкодування витрат підприємствам за надані пільги на  комунальні послуги іншим категоріям населення (інваліди по зору, почесні громадяни міста, сім’ї загиблих воїнів-афганців, пільги учасникам АТО та </w:t>
      </w:r>
      <w:r>
        <w:rPr>
          <w:sz w:val="28"/>
          <w:szCs w:val="28"/>
        </w:rPr>
        <w:lastRenderedPageBreak/>
        <w:t xml:space="preserve">членам їх сімей на послуги з утримання будинків і споруд та прибудинкових територій) в міському бюджеті на 2017 рік  передбачено асигнування в сумі </w:t>
      </w:r>
      <w:r w:rsidR="006833B9">
        <w:rPr>
          <w:sz w:val="28"/>
          <w:szCs w:val="28"/>
        </w:rPr>
        <w:t xml:space="preserve">               </w:t>
      </w:r>
      <w:r>
        <w:rPr>
          <w:sz w:val="28"/>
          <w:szCs w:val="28"/>
        </w:rPr>
        <w:t>1</w:t>
      </w:r>
      <w:r w:rsidR="006833B9">
        <w:rPr>
          <w:sz w:val="28"/>
          <w:szCs w:val="28"/>
        </w:rPr>
        <w:t xml:space="preserve"> </w:t>
      </w:r>
      <w:r>
        <w:rPr>
          <w:sz w:val="28"/>
          <w:szCs w:val="28"/>
        </w:rPr>
        <w:t>292,0 тис. грн. Касові видатки в І півріччі 2017 року склали 861,8 тис. грн. (66,7 % запланованих річних асигнувань і 97,7% плану на звітний період).</w:t>
      </w:r>
    </w:p>
    <w:p w:rsidR="00D61483" w:rsidRDefault="00D61483" w:rsidP="006833B9">
      <w:pPr>
        <w:suppressAutoHyphens/>
        <w:ind w:firstLine="709"/>
        <w:jc w:val="both"/>
        <w:rPr>
          <w:sz w:val="28"/>
          <w:szCs w:val="28"/>
        </w:rPr>
      </w:pPr>
      <w:r>
        <w:rPr>
          <w:sz w:val="28"/>
          <w:szCs w:val="28"/>
        </w:rPr>
        <w:t>Видатки із міського бюджету на житлово-комунальне господарство  на 2017 рік визначено в сумі 224 663,5 тис. грн. (з них загальний фонд (видатки споживання) –   154 949,8  тис. грн., спеціальний фонд (бюджет розвитку) – 69 713,7</w:t>
      </w:r>
      <w:r w:rsidR="006833B9">
        <w:rPr>
          <w:sz w:val="28"/>
          <w:szCs w:val="28"/>
        </w:rPr>
        <w:t xml:space="preserve"> </w:t>
      </w:r>
      <w:r>
        <w:rPr>
          <w:sz w:val="28"/>
          <w:szCs w:val="28"/>
        </w:rPr>
        <w:t>тис. грн.)</w:t>
      </w:r>
      <w:r w:rsidR="006833B9">
        <w:rPr>
          <w:sz w:val="28"/>
          <w:szCs w:val="28"/>
        </w:rPr>
        <w:t>.</w:t>
      </w:r>
      <w:r>
        <w:rPr>
          <w:sz w:val="28"/>
          <w:szCs w:val="28"/>
        </w:rPr>
        <w:t xml:space="preserve"> Видатки на житлово-комунальне господарство розподіляються таким чином:  житлове господарство – 15 338,9 тис. грн., благоустрій міста – 59 555,3 тис. грн., фінансова підтримка транспортних та інших комунальних підприємств міста – 94</w:t>
      </w:r>
      <w:r w:rsidR="006833B9">
        <w:rPr>
          <w:sz w:val="28"/>
          <w:szCs w:val="28"/>
        </w:rPr>
        <w:t xml:space="preserve"> </w:t>
      </w:r>
      <w:r>
        <w:rPr>
          <w:sz w:val="28"/>
          <w:szCs w:val="28"/>
        </w:rPr>
        <w:t xml:space="preserve">239,2 тис. грн., погашення різниці між фактичною вартістю теплової енергії, послуг з централізованого опалення, постачання гарячої води, централізованого водопостачання та водовідведення, постачання </w:t>
      </w:r>
      <w:r w:rsidR="006833B9">
        <w:rPr>
          <w:sz w:val="28"/>
          <w:szCs w:val="28"/>
        </w:rPr>
        <w:t xml:space="preserve">холодної води та водовідведення – </w:t>
      </w:r>
      <w:r>
        <w:rPr>
          <w:sz w:val="28"/>
          <w:szCs w:val="28"/>
        </w:rPr>
        <w:t>55 530,1</w:t>
      </w:r>
      <w:r w:rsidR="006833B9">
        <w:rPr>
          <w:sz w:val="28"/>
          <w:szCs w:val="28"/>
        </w:rPr>
        <w:t xml:space="preserve"> </w:t>
      </w:r>
      <w:r w:rsidR="002717C6">
        <w:rPr>
          <w:sz w:val="28"/>
          <w:szCs w:val="28"/>
        </w:rPr>
        <w:t xml:space="preserve">тис. </w:t>
      </w:r>
      <w:r>
        <w:rPr>
          <w:sz w:val="28"/>
          <w:szCs w:val="28"/>
        </w:rPr>
        <w:t xml:space="preserve">грн.       </w:t>
      </w:r>
    </w:p>
    <w:p w:rsidR="00D61483" w:rsidRDefault="00D61483" w:rsidP="00D61483">
      <w:pPr>
        <w:suppressAutoHyphens/>
        <w:ind w:firstLine="709"/>
        <w:jc w:val="both"/>
        <w:rPr>
          <w:sz w:val="28"/>
          <w:szCs w:val="28"/>
        </w:rPr>
      </w:pPr>
      <w:r>
        <w:rPr>
          <w:sz w:val="28"/>
          <w:szCs w:val="28"/>
        </w:rPr>
        <w:t xml:space="preserve">Касові видатки за  І півріччя 2017 року на житлово-комунальне господарство склали 81 996,1 тис. грн. (36,5 % запланованих річних асигнувань і 52,7% плану на звітний період), в </w:t>
      </w:r>
      <w:proofErr w:type="spellStart"/>
      <w:r>
        <w:rPr>
          <w:sz w:val="28"/>
          <w:szCs w:val="28"/>
        </w:rPr>
        <w:t>т.ч</w:t>
      </w:r>
      <w:proofErr w:type="spellEnd"/>
      <w:r>
        <w:rPr>
          <w:sz w:val="28"/>
          <w:szCs w:val="28"/>
        </w:rPr>
        <w:t>. житлове господарство – 3 967,6 тис. грн. (25,9 % річного плану і 53,4% плану на звітний період),  благоустрій міста –      28 998,0 тис. грн. (48,7%  від запланованих річних асигнувань і 85,3% плану на звітний період), фінансова підтримка транспортних та інших комунальних підприємств міста – 49 030,5 тис. грн. (52,0 % річного плану і 83,5% плану на звітний період).</w:t>
      </w:r>
    </w:p>
    <w:p w:rsidR="00D61483" w:rsidRDefault="00D61483" w:rsidP="00D61483">
      <w:pPr>
        <w:suppressAutoHyphens/>
        <w:ind w:firstLine="709"/>
        <w:jc w:val="both"/>
        <w:rPr>
          <w:sz w:val="28"/>
          <w:szCs w:val="28"/>
        </w:rPr>
      </w:pPr>
      <w:r>
        <w:rPr>
          <w:sz w:val="28"/>
          <w:szCs w:val="28"/>
        </w:rPr>
        <w:t xml:space="preserve">У видатках на житлово - комунальне господарство передбачено асигнування на оплату робіт по механізованому прибиранню вулиць,  освітленню міста, поточному ремонту доріг, капітальний ремонт житлового фонду місцевих органів влади та житлового фонду об'єднань співвласників багатоквартирних будинків, фінансову підтримку комунальних підприємств.  </w:t>
      </w:r>
    </w:p>
    <w:p w:rsidR="00D61483" w:rsidRDefault="00D61483" w:rsidP="00D61483">
      <w:pPr>
        <w:suppressAutoHyphens/>
        <w:ind w:firstLine="709"/>
        <w:jc w:val="both"/>
        <w:rPr>
          <w:sz w:val="28"/>
          <w:szCs w:val="28"/>
        </w:rPr>
      </w:pPr>
      <w:r>
        <w:rPr>
          <w:sz w:val="28"/>
          <w:szCs w:val="28"/>
        </w:rPr>
        <w:t>На виконання Програми стимулювання впровадження енергозберігаючих заходів у будинках ОСББ та ЖБК м. Кременчука на 2015 - 2020 роки на</w:t>
      </w:r>
      <w:r w:rsidR="002717C6">
        <w:rPr>
          <w:sz w:val="28"/>
          <w:szCs w:val="28"/>
        </w:rPr>
        <w:t xml:space="preserve">             </w:t>
      </w:r>
      <w:r>
        <w:rPr>
          <w:sz w:val="28"/>
          <w:szCs w:val="28"/>
        </w:rPr>
        <w:t xml:space="preserve"> 2017 рік передбачено асигнування в сумі 500,0 тис. грн. Касові видатки </w:t>
      </w:r>
      <w:r w:rsidR="002717C6">
        <w:rPr>
          <w:sz w:val="28"/>
          <w:szCs w:val="28"/>
        </w:rPr>
        <w:t xml:space="preserve">                     </w:t>
      </w:r>
      <w:r>
        <w:rPr>
          <w:sz w:val="28"/>
          <w:szCs w:val="28"/>
        </w:rPr>
        <w:t>в І півріччі 2017 року склали 66,3 тис. грн., що складає 13,3% річного плану і 30,1% плану звітного періоду.</w:t>
      </w:r>
    </w:p>
    <w:p w:rsidR="00D61483" w:rsidRDefault="00D61483" w:rsidP="00D61483">
      <w:pPr>
        <w:suppressAutoHyphens/>
        <w:ind w:firstLine="709"/>
        <w:jc w:val="both"/>
        <w:rPr>
          <w:sz w:val="28"/>
          <w:szCs w:val="28"/>
        </w:rPr>
      </w:pPr>
      <w:r>
        <w:rPr>
          <w:sz w:val="28"/>
          <w:szCs w:val="28"/>
        </w:rPr>
        <w:t>На виконання Програми стимулювання впровадження енергозберігаючих заходів населенням м. Кременчука на 2016 - 2020 роки на 2017 рік передбачено асигнування в сумі 500,0 тис. грн. Касові видатки в І півріччі 2017 року склали 39,4 тис. грн., що складає 7,8% річного плану і 17,9% плану звітного періоду.</w:t>
      </w:r>
    </w:p>
    <w:p w:rsidR="00D61483" w:rsidRDefault="00D61483" w:rsidP="00D61483">
      <w:pPr>
        <w:suppressAutoHyphens/>
        <w:ind w:firstLine="709"/>
        <w:jc w:val="both"/>
        <w:rPr>
          <w:sz w:val="28"/>
          <w:szCs w:val="28"/>
        </w:rPr>
      </w:pPr>
      <w:r>
        <w:rPr>
          <w:sz w:val="28"/>
          <w:szCs w:val="28"/>
        </w:rPr>
        <w:t xml:space="preserve">На проведення робіт, пов'язаних з будівництвом, реконструкцією, ремонтом і утриманням автомобільних доріг на 2017 рік передбачено асигнування в сумі 41518,0 тис. грн. Касові видатки в І півріччі 2017 року склали 17 807,0 тис. грн., що складає 42,9% річного плану і 79,7% плану звітного періоду.   </w:t>
      </w:r>
    </w:p>
    <w:p w:rsidR="00D61483" w:rsidRDefault="00D61483" w:rsidP="00D61483">
      <w:pPr>
        <w:suppressAutoHyphens/>
        <w:ind w:firstLine="709"/>
        <w:jc w:val="both"/>
        <w:rPr>
          <w:sz w:val="28"/>
          <w:szCs w:val="28"/>
        </w:rPr>
      </w:pPr>
      <w:r>
        <w:rPr>
          <w:sz w:val="28"/>
          <w:szCs w:val="28"/>
        </w:rPr>
        <w:t>Для підтримки засо</w:t>
      </w:r>
      <w:r w:rsidR="002717C6">
        <w:rPr>
          <w:sz w:val="28"/>
          <w:szCs w:val="28"/>
        </w:rPr>
        <w:t>бів масової інформації (газети «</w:t>
      </w:r>
      <w:r>
        <w:rPr>
          <w:sz w:val="28"/>
          <w:szCs w:val="28"/>
        </w:rPr>
        <w:t>Вісник Кременчука</w:t>
      </w:r>
      <w:r w:rsidR="002717C6">
        <w:rPr>
          <w:sz w:val="28"/>
          <w:szCs w:val="28"/>
        </w:rPr>
        <w:t>»</w:t>
      </w:r>
      <w:r>
        <w:rPr>
          <w:sz w:val="28"/>
          <w:szCs w:val="28"/>
        </w:rPr>
        <w:t xml:space="preserve"> та міської телерадіокомпанії) в міському бюджеті 2017 рік передбачено кошти в сумі 4</w:t>
      </w:r>
      <w:r w:rsidR="002717C6">
        <w:rPr>
          <w:sz w:val="28"/>
          <w:szCs w:val="28"/>
        </w:rPr>
        <w:t xml:space="preserve"> </w:t>
      </w:r>
      <w:r>
        <w:rPr>
          <w:sz w:val="28"/>
          <w:szCs w:val="28"/>
        </w:rPr>
        <w:t xml:space="preserve">150,0 тис. грн., касові видатки за І півріччя 2017 року склали </w:t>
      </w:r>
      <w:r w:rsidR="002717C6">
        <w:rPr>
          <w:sz w:val="28"/>
          <w:szCs w:val="28"/>
        </w:rPr>
        <w:t xml:space="preserve">                     </w:t>
      </w:r>
      <w:r>
        <w:rPr>
          <w:sz w:val="28"/>
          <w:szCs w:val="28"/>
        </w:rPr>
        <w:t>1 846,8 тис. грн. (44,5% річного плану і 87,0% плану на звітний період</w:t>
      </w:r>
      <w:r w:rsidR="002717C6">
        <w:rPr>
          <w:sz w:val="28"/>
          <w:szCs w:val="28"/>
        </w:rPr>
        <w:t xml:space="preserve">), в </w:t>
      </w:r>
      <w:proofErr w:type="spellStart"/>
      <w:r w:rsidR="002717C6">
        <w:rPr>
          <w:sz w:val="28"/>
          <w:szCs w:val="28"/>
        </w:rPr>
        <w:t>т.ч</w:t>
      </w:r>
      <w:proofErr w:type="spellEnd"/>
      <w:r w:rsidR="002717C6">
        <w:rPr>
          <w:sz w:val="28"/>
          <w:szCs w:val="28"/>
        </w:rPr>
        <w:t>. для редакції газети «</w:t>
      </w:r>
      <w:r>
        <w:rPr>
          <w:sz w:val="28"/>
          <w:szCs w:val="28"/>
        </w:rPr>
        <w:t>Вісник Кременчука</w:t>
      </w:r>
      <w:r w:rsidR="002717C6">
        <w:rPr>
          <w:sz w:val="28"/>
          <w:szCs w:val="28"/>
        </w:rPr>
        <w:t>»</w:t>
      </w:r>
      <w:r>
        <w:rPr>
          <w:sz w:val="28"/>
          <w:szCs w:val="28"/>
        </w:rPr>
        <w:t xml:space="preserve"> – 564,1 тис. грн., для міської телерадіокомпанії – 1 282,7 тис. грн.</w:t>
      </w:r>
    </w:p>
    <w:p w:rsidR="00D61483" w:rsidRDefault="00D61483" w:rsidP="00D61483">
      <w:pPr>
        <w:suppressAutoHyphens/>
        <w:ind w:firstLine="709"/>
        <w:jc w:val="both"/>
        <w:rPr>
          <w:sz w:val="28"/>
          <w:szCs w:val="28"/>
        </w:rPr>
      </w:pPr>
      <w:r>
        <w:rPr>
          <w:sz w:val="28"/>
          <w:szCs w:val="28"/>
        </w:rPr>
        <w:lastRenderedPageBreak/>
        <w:t xml:space="preserve">На  заходи щодо проведення земельної реформи відповідно до міської програми «Програма реалізації Основних напрямів земельної реформи </w:t>
      </w:r>
      <w:r w:rsidR="006F5C55">
        <w:rPr>
          <w:sz w:val="28"/>
          <w:szCs w:val="28"/>
        </w:rPr>
        <w:t xml:space="preserve">                     </w:t>
      </w:r>
      <w:r>
        <w:rPr>
          <w:sz w:val="28"/>
          <w:szCs w:val="28"/>
        </w:rPr>
        <w:t xml:space="preserve">на 2017 р. в м. </w:t>
      </w:r>
      <w:proofErr w:type="spellStart"/>
      <w:r>
        <w:rPr>
          <w:sz w:val="28"/>
          <w:szCs w:val="28"/>
        </w:rPr>
        <w:t>Кременчуці</w:t>
      </w:r>
      <w:proofErr w:type="spellEnd"/>
      <w:r>
        <w:rPr>
          <w:sz w:val="28"/>
          <w:szCs w:val="28"/>
        </w:rPr>
        <w:t xml:space="preserve">» передбачені видатки в сумі 2 570,0 тис. грн., «Програми проведення  експертної грошової  оцінки земельних ділянок несільськогосподарського призначення, що підлягають продажу на 2017 рік» – 10,7 тис. грн. Касові видатки в звітному періоді склали 10,7 тис. грн. </w:t>
      </w:r>
      <w:r w:rsidR="00A0081A">
        <w:rPr>
          <w:sz w:val="28"/>
          <w:szCs w:val="28"/>
        </w:rPr>
        <w:t xml:space="preserve">                  </w:t>
      </w:r>
      <w:r>
        <w:rPr>
          <w:sz w:val="28"/>
          <w:szCs w:val="28"/>
        </w:rPr>
        <w:t>(0,4% річного плану і 2,0% плану на звітний період). Видатки проводились на виконання «Програми проведення  експертної грошової  оцінки земельних ділянок несільськогосподарського призначення, що підлягають продажу на 2017 рік».</w:t>
      </w:r>
    </w:p>
    <w:p w:rsidR="00D61483" w:rsidRDefault="00D61483" w:rsidP="00D61483">
      <w:pPr>
        <w:suppressAutoHyphens/>
        <w:ind w:firstLine="709"/>
        <w:jc w:val="both"/>
        <w:rPr>
          <w:sz w:val="28"/>
          <w:szCs w:val="28"/>
        </w:rPr>
      </w:pPr>
      <w:r>
        <w:rPr>
          <w:sz w:val="28"/>
          <w:szCs w:val="28"/>
        </w:rPr>
        <w:t xml:space="preserve">На підтримку малого і середнього підприємництва в бюджеті міста на 2017 рік відповідно до міської програми «Програма розвитку малого підприємництва у м. </w:t>
      </w:r>
      <w:proofErr w:type="spellStart"/>
      <w:r>
        <w:rPr>
          <w:sz w:val="28"/>
          <w:szCs w:val="28"/>
        </w:rPr>
        <w:t>Кременчуці</w:t>
      </w:r>
      <w:proofErr w:type="spellEnd"/>
      <w:r>
        <w:rPr>
          <w:sz w:val="28"/>
          <w:szCs w:val="28"/>
        </w:rPr>
        <w:t xml:space="preserve"> на 2015-2017 роки» в загальному фонді міського бюджету передбачено асигнування в сумі 300,0 тис. грн. Касові видатки за звітний період склали 114,7 тис.</w:t>
      </w:r>
      <w:r w:rsidR="002717C6">
        <w:rPr>
          <w:sz w:val="28"/>
          <w:szCs w:val="28"/>
        </w:rPr>
        <w:t xml:space="preserve"> </w:t>
      </w:r>
      <w:r>
        <w:rPr>
          <w:sz w:val="28"/>
          <w:szCs w:val="28"/>
        </w:rPr>
        <w:t>грн. (38,2% річного плану і 80,0% плану на звітний період).</w:t>
      </w:r>
    </w:p>
    <w:p w:rsidR="00D61483" w:rsidRDefault="00D61483" w:rsidP="00D61483">
      <w:pPr>
        <w:suppressAutoHyphens/>
        <w:ind w:firstLine="709"/>
        <w:jc w:val="both"/>
        <w:rPr>
          <w:sz w:val="28"/>
          <w:szCs w:val="28"/>
        </w:rPr>
      </w:pPr>
      <w:r>
        <w:rPr>
          <w:sz w:val="28"/>
          <w:szCs w:val="28"/>
        </w:rPr>
        <w:t>За рахунок коштів спеціального фонду бюджету міста (бюджету розвитку) в 2017 році внески міської ради до статутного капіталу суб’єктів господарювання визначені в сумі-17  100,0 тис.</w:t>
      </w:r>
      <w:r w:rsidRPr="00D61483">
        <w:rPr>
          <w:sz w:val="28"/>
          <w:szCs w:val="28"/>
          <w:lang w:val="ru-RU"/>
        </w:rPr>
        <w:t xml:space="preserve"> </w:t>
      </w:r>
      <w:r>
        <w:rPr>
          <w:sz w:val="28"/>
          <w:szCs w:val="28"/>
        </w:rPr>
        <w:t>грн. Касові видатки у звітному періоді склали 15 000,0 тис.</w:t>
      </w:r>
      <w:r w:rsidRPr="00D61483">
        <w:rPr>
          <w:sz w:val="28"/>
          <w:szCs w:val="28"/>
          <w:lang w:val="ru-RU"/>
        </w:rPr>
        <w:t xml:space="preserve"> </w:t>
      </w:r>
      <w:r>
        <w:rPr>
          <w:sz w:val="28"/>
          <w:szCs w:val="28"/>
        </w:rPr>
        <w:t>грн., що дорівнює 87,7% річного плану та 100,0% виконання плану за звітний період,</w:t>
      </w:r>
      <w:r w:rsidRPr="00D61483">
        <w:rPr>
          <w:sz w:val="28"/>
          <w:szCs w:val="28"/>
          <w:lang w:val="ru-RU"/>
        </w:rPr>
        <w:t xml:space="preserve"> </w:t>
      </w:r>
      <w:r>
        <w:rPr>
          <w:sz w:val="28"/>
          <w:szCs w:val="28"/>
        </w:rPr>
        <w:t xml:space="preserve">в </w:t>
      </w:r>
      <w:proofErr w:type="spellStart"/>
      <w:r>
        <w:rPr>
          <w:sz w:val="28"/>
          <w:szCs w:val="28"/>
        </w:rPr>
        <w:t>т.ч</w:t>
      </w:r>
      <w:proofErr w:type="spellEnd"/>
      <w:r>
        <w:rPr>
          <w:sz w:val="28"/>
          <w:szCs w:val="28"/>
        </w:rPr>
        <w:t>.:</w:t>
      </w:r>
    </w:p>
    <w:p w:rsidR="00D61483" w:rsidRDefault="00D61483" w:rsidP="002717C6">
      <w:pPr>
        <w:tabs>
          <w:tab w:val="left" w:pos="709"/>
        </w:tabs>
        <w:suppressAutoHyphens/>
        <w:ind w:firstLine="709"/>
        <w:jc w:val="both"/>
        <w:rPr>
          <w:sz w:val="28"/>
          <w:szCs w:val="28"/>
        </w:rPr>
      </w:pPr>
      <w:r>
        <w:rPr>
          <w:sz w:val="28"/>
          <w:szCs w:val="28"/>
        </w:rPr>
        <w:t>- комунальному пі</w:t>
      </w:r>
      <w:r w:rsidR="002717C6">
        <w:rPr>
          <w:sz w:val="28"/>
          <w:szCs w:val="28"/>
        </w:rPr>
        <w:t>дприємству «</w:t>
      </w:r>
      <w:proofErr w:type="spellStart"/>
      <w:r w:rsidR="002717C6">
        <w:rPr>
          <w:sz w:val="28"/>
          <w:szCs w:val="28"/>
        </w:rPr>
        <w:t>Кременчукводоканал</w:t>
      </w:r>
      <w:proofErr w:type="spellEnd"/>
      <w:r w:rsidR="002717C6">
        <w:rPr>
          <w:sz w:val="28"/>
          <w:szCs w:val="28"/>
        </w:rPr>
        <w:t xml:space="preserve">» - </w:t>
      </w:r>
      <w:r>
        <w:rPr>
          <w:sz w:val="28"/>
          <w:szCs w:val="28"/>
        </w:rPr>
        <w:t>9 500,0 тис.</w:t>
      </w:r>
      <w:r w:rsidR="002717C6">
        <w:rPr>
          <w:sz w:val="28"/>
          <w:szCs w:val="28"/>
        </w:rPr>
        <w:t xml:space="preserve"> </w:t>
      </w:r>
      <w:r w:rsidR="006F5C55">
        <w:rPr>
          <w:sz w:val="28"/>
          <w:szCs w:val="28"/>
        </w:rPr>
        <w:t>грн.;</w:t>
      </w:r>
      <w:r>
        <w:rPr>
          <w:sz w:val="28"/>
          <w:szCs w:val="28"/>
        </w:rPr>
        <w:t xml:space="preserve">           </w:t>
      </w:r>
    </w:p>
    <w:p w:rsidR="00D61483" w:rsidRDefault="00D61483" w:rsidP="002717C6">
      <w:pPr>
        <w:suppressAutoHyphens/>
        <w:ind w:firstLine="709"/>
        <w:jc w:val="both"/>
        <w:rPr>
          <w:sz w:val="28"/>
          <w:szCs w:val="28"/>
        </w:rPr>
      </w:pPr>
      <w:r>
        <w:rPr>
          <w:sz w:val="28"/>
          <w:szCs w:val="28"/>
        </w:rPr>
        <w:t xml:space="preserve">- комунальному підприємству </w:t>
      </w:r>
      <w:r w:rsidR="002717C6">
        <w:rPr>
          <w:sz w:val="28"/>
          <w:szCs w:val="28"/>
        </w:rPr>
        <w:t>«</w:t>
      </w:r>
      <w:proofErr w:type="spellStart"/>
      <w:r>
        <w:rPr>
          <w:sz w:val="28"/>
          <w:szCs w:val="28"/>
        </w:rPr>
        <w:t>Теплоенерго</w:t>
      </w:r>
      <w:proofErr w:type="spellEnd"/>
      <w:r w:rsidR="002717C6">
        <w:rPr>
          <w:sz w:val="28"/>
          <w:szCs w:val="28"/>
        </w:rPr>
        <w:t xml:space="preserve">» - </w:t>
      </w:r>
      <w:r>
        <w:rPr>
          <w:sz w:val="28"/>
          <w:szCs w:val="28"/>
        </w:rPr>
        <w:t>5 500,0 тис.</w:t>
      </w:r>
      <w:r w:rsidR="002717C6">
        <w:rPr>
          <w:sz w:val="28"/>
          <w:szCs w:val="28"/>
        </w:rPr>
        <w:t xml:space="preserve"> </w:t>
      </w:r>
      <w:r>
        <w:rPr>
          <w:sz w:val="28"/>
          <w:szCs w:val="28"/>
        </w:rPr>
        <w:t xml:space="preserve">грн. </w:t>
      </w:r>
    </w:p>
    <w:p w:rsidR="00D61483" w:rsidRDefault="00D61483" w:rsidP="00D61483">
      <w:pPr>
        <w:suppressAutoHyphens/>
        <w:ind w:firstLine="709"/>
        <w:jc w:val="both"/>
        <w:rPr>
          <w:sz w:val="28"/>
          <w:szCs w:val="28"/>
        </w:rPr>
      </w:pPr>
      <w:r>
        <w:rPr>
          <w:sz w:val="28"/>
          <w:szCs w:val="28"/>
        </w:rPr>
        <w:t xml:space="preserve">На будівництво в спеціальному фонді міського бюджету (бюджет розвитку) на 2017 рік передбачено асигнування в сумі  59 010,4 тис. грн. </w:t>
      </w:r>
    </w:p>
    <w:p w:rsidR="00D61483" w:rsidRDefault="00D61483" w:rsidP="00D61483">
      <w:pPr>
        <w:suppressAutoHyphens/>
        <w:ind w:firstLine="709"/>
        <w:jc w:val="both"/>
        <w:rPr>
          <w:sz w:val="28"/>
          <w:szCs w:val="28"/>
        </w:rPr>
      </w:pPr>
      <w:r>
        <w:rPr>
          <w:sz w:val="28"/>
          <w:szCs w:val="28"/>
        </w:rPr>
        <w:t xml:space="preserve"> Касові видатки за І півріччя 2017 року склали  18 849,3 тис. грн., </w:t>
      </w:r>
      <w:r w:rsidR="00A0081A">
        <w:rPr>
          <w:sz w:val="28"/>
          <w:szCs w:val="28"/>
        </w:rPr>
        <w:t xml:space="preserve">                </w:t>
      </w:r>
      <w:r>
        <w:rPr>
          <w:sz w:val="28"/>
          <w:szCs w:val="28"/>
        </w:rPr>
        <w:t xml:space="preserve"> (31,9% річного плану і 55,0% плану на звітний період), в </w:t>
      </w:r>
      <w:proofErr w:type="spellStart"/>
      <w:r>
        <w:rPr>
          <w:sz w:val="28"/>
          <w:szCs w:val="28"/>
        </w:rPr>
        <w:t>т.ч</w:t>
      </w:r>
      <w:proofErr w:type="spellEnd"/>
      <w:r>
        <w:rPr>
          <w:sz w:val="28"/>
          <w:szCs w:val="28"/>
        </w:rPr>
        <w:t xml:space="preserve">. </w:t>
      </w:r>
    </w:p>
    <w:p w:rsidR="00D61483" w:rsidRDefault="00D61483" w:rsidP="00D61483">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sidRPr="00D61483">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rPr>
        <w:t>тис.грн</w:t>
      </w:r>
      <w:proofErr w:type="spellEnd"/>
      <w:r>
        <w:rPr>
          <w:rFonts w:ascii="Times New Roman CYR" w:hAnsi="Times New Roman CYR" w:cs="Times New Roman CYR"/>
          <w:sz w:val="28"/>
          <w:szCs w:val="28"/>
        </w:rPr>
        <w:t>.</w:t>
      </w:r>
    </w:p>
    <w:tbl>
      <w:tblPr>
        <w:tblW w:w="9747" w:type="dxa"/>
        <w:tblLayout w:type="fixed"/>
        <w:tblLook w:val="04A0" w:firstRow="1" w:lastRow="0" w:firstColumn="1" w:lastColumn="0" w:noHBand="0" w:noVBand="1"/>
      </w:tblPr>
      <w:tblGrid>
        <w:gridCol w:w="7479"/>
        <w:gridCol w:w="2268"/>
      </w:tblGrid>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rsidP="002717C6">
            <w:pPr>
              <w:widowControl w:val="0"/>
              <w:overflowPunct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Назва об’</w:t>
            </w:r>
            <w:r w:rsidR="002717C6">
              <w:rPr>
                <w:rFonts w:ascii="Times New Roman CYR" w:hAnsi="Times New Roman CYR" w:cs="Times New Roman CYR"/>
              </w:rPr>
              <w:t>є</w:t>
            </w:r>
            <w:r>
              <w:rPr>
                <w:rFonts w:ascii="Times New Roman CYR" w:hAnsi="Times New Roman CYR" w:cs="Times New Roman CYR"/>
              </w:rPr>
              <w:t>ктів</w:t>
            </w:r>
          </w:p>
        </w:tc>
        <w:tc>
          <w:tcPr>
            <w:tcW w:w="2268"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Касові видатки</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скверу «Імені Олега </w:t>
            </w:r>
            <w:proofErr w:type="spellStart"/>
            <w:r>
              <w:rPr>
                <w:rFonts w:ascii="Times New Roman CYR" w:hAnsi="Times New Roman CYR" w:cs="Times New Roman CYR"/>
              </w:rPr>
              <w:t>Бабаєва</w:t>
            </w:r>
            <w:proofErr w:type="spellEnd"/>
            <w:r>
              <w:rPr>
                <w:rFonts w:ascii="Times New Roman CYR" w:hAnsi="Times New Roman CYR" w:cs="Times New Roman CYR"/>
              </w:rPr>
              <w:t xml:space="preserve">» 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100,0 </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міського парку культури та відпочинку «Придніпровський» 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1 851, 6</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Будівництво адміністративної будівлі по вул. Княгині Ольги,3 (попередня назва - </w:t>
            </w:r>
            <w:proofErr w:type="spellStart"/>
            <w:r>
              <w:rPr>
                <w:rFonts w:ascii="Times New Roman CYR" w:hAnsi="Times New Roman CYR" w:cs="Times New Roman CYR"/>
              </w:rPr>
              <w:t>вул.Червоних</w:t>
            </w:r>
            <w:proofErr w:type="spellEnd"/>
            <w:r>
              <w:rPr>
                <w:rFonts w:ascii="Times New Roman CYR" w:hAnsi="Times New Roman CYR" w:cs="Times New Roman CYR"/>
              </w:rPr>
              <w:t xml:space="preserve"> Слідопитів) у </w:t>
            </w:r>
            <w:proofErr w:type="spellStart"/>
            <w:r>
              <w:rPr>
                <w:rFonts w:ascii="Times New Roman CYR" w:hAnsi="Times New Roman CYR" w:cs="Times New Roman CYR"/>
              </w:rPr>
              <w:t>м.Кременчуці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2 265 ,8</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Комплексний благоустрій території в районі житлового будинку №1 по вул. Генерала </w:t>
            </w:r>
            <w:proofErr w:type="spellStart"/>
            <w:r>
              <w:rPr>
                <w:rFonts w:ascii="Times New Roman CYR" w:hAnsi="Times New Roman CYR" w:cs="Times New Roman CYR"/>
              </w:rPr>
              <w:t>Манагарова</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м.Кременчуці</w:t>
            </w:r>
            <w:proofErr w:type="spellEnd"/>
            <w:r>
              <w:rPr>
                <w:rFonts w:ascii="Times New Roman CYR" w:hAnsi="Times New Roman CYR" w:cs="Times New Roman CYR"/>
              </w:rPr>
              <w:t xml:space="preserve"> (нове будівництво)</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1 021 ,1</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будівлі під центр муніципальних послуг по вул. Гагаріна,14 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8 274 ,9</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Будівництво  міського архіву по вул.Гагаріна,14  в </w:t>
            </w:r>
            <w:proofErr w:type="spellStart"/>
            <w:r>
              <w:rPr>
                <w:rFonts w:ascii="Times New Roman CYR" w:hAnsi="Times New Roman CYR" w:cs="Times New Roman CYR"/>
              </w:rPr>
              <w:t>м.Кременчуці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198 ,3</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будівель  Кременчуцького краєзнавчого  музею </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589, 1</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Реконструкція будівель Кременчуцького краєзнавчого музею. Роботи по усуненню недоліків, які виникли в результаті неналежного виконання робіт підрядником.</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3, 6</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rsidP="006F5C55">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каналізаційної насосної   станції   СП-17 </w:t>
            </w:r>
            <w:r w:rsidR="006F5C55">
              <w:rPr>
                <w:rFonts w:ascii="Times New Roman CYR" w:hAnsi="Times New Roman CYR" w:cs="Times New Roman CYR"/>
              </w:rPr>
              <w:t xml:space="preserve">                                </w:t>
            </w:r>
            <w:r>
              <w:rPr>
                <w:rFonts w:ascii="Times New Roman CYR" w:hAnsi="Times New Roman CYR" w:cs="Times New Roman CYR"/>
              </w:rPr>
              <w:t xml:space="preserve">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112 ,0</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(винос)  мереж ЛЕП 10 кВт за межі гаражної забудови в </w:t>
            </w:r>
            <w:proofErr w:type="spellStart"/>
            <w:r>
              <w:rPr>
                <w:rFonts w:ascii="Times New Roman CYR" w:hAnsi="Times New Roman CYR" w:cs="Times New Roman CYR"/>
              </w:rPr>
              <w:t>кв</w:t>
            </w:r>
            <w:proofErr w:type="spellEnd"/>
            <w:r>
              <w:rPr>
                <w:rFonts w:ascii="Times New Roman CYR" w:hAnsi="Times New Roman CYR" w:cs="Times New Roman CYR"/>
              </w:rPr>
              <w:t xml:space="preserve">. 285 </w:t>
            </w:r>
            <w:proofErr w:type="spellStart"/>
            <w:r>
              <w:rPr>
                <w:rFonts w:ascii="Times New Roman CYR" w:hAnsi="Times New Roman CYR" w:cs="Times New Roman CYR"/>
              </w:rPr>
              <w:t>м.Кременчука</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23,2</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Проектування та реконструкція </w:t>
            </w:r>
            <w:proofErr w:type="spellStart"/>
            <w:r>
              <w:rPr>
                <w:rFonts w:ascii="Times New Roman CYR" w:hAnsi="Times New Roman CYR" w:cs="Times New Roman CYR"/>
              </w:rPr>
              <w:t>внутрішньобудинкових</w:t>
            </w:r>
            <w:proofErr w:type="spellEnd"/>
            <w:r>
              <w:rPr>
                <w:rFonts w:ascii="Times New Roman CYR" w:hAnsi="Times New Roman CYR" w:cs="Times New Roman CYR"/>
              </w:rPr>
              <w:t xml:space="preserve"> електромереж  житлових будинків №№ 1, 3, 5, 7 по вул. Яровій в </w:t>
            </w:r>
            <w:proofErr w:type="spellStart"/>
            <w:r>
              <w:rPr>
                <w:rFonts w:ascii="Times New Roman CYR" w:hAnsi="Times New Roman CYR" w:cs="Times New Roman CYR"/>
              </w:rPr>
              <w:t>м.Кременчуці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1,6</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Реконструкція нежитлових приміщень по вул. Героїв України, 11А в </w:t>
            </w:r>
            <w:proofErr w:type="spellStart"/>
            <w:r>
              <w:rPr>
                <w:rFonts w:ascii="Times New Roman CYR" w:hAnsi="Times New Roman CYR" w:cs="Times New Roman CYR"/>
              </w:rPr>
              <w:t>м.Кременчуці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8 ,8</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Реконструкція об’єкту «Поліпшення технічного стану та благоустрій ставка в парку «Міський сад» в м. </w:t>
            </w:r>
            <w:proofErr w:type="spellStart"/>
            <w:r>
              <w:rPr>
                <w:rFonts w:ascii="Times New Roman CYR" w:hAnsi="Times New Roman CYR" w:cs="Times New Roman CYR"/>
              </w:rPr>
              <w:t>Кременчуці</w:t>
            </w:r>
            <w:proofErr w:type="spellEnd"/>
            <w:r>
              <w:rPr>
                <w:rFonts w:ascii="Times New Roman CYR" w:hAnsi="Times New Roman CYR" w:cs="Times New Roman CYR"/>
              </w:rPr>
              <w:t>»</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344, 8</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системи водовідведення від житлового будинку №80 по вул. Мічуріна 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14,0</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center"/>
            <w:hideMark/>
          </w:tcPr>
          <w:p w:rsidR="00D61483" w:rsidRDefault="00D61483" w:rsidP="002717C6">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Будівництво каналізаційної мережі від середньої школи №3 по </w:t>
            </w:r>
            <w:r w:rsidR="002717C6">
              <w:rPr>
                <w:rFonts w:ascii="Times New Roman CYR" w:hAnsi="Times New Roman CYR" w:cs="Times New Roman CYR"/>
              </w:rPr>
              <w:t xml:space="preserve">               </w:t>
            </w:r>
            <w:r>
              <w:rPr>
                <w:rFonts w:ascii="Times New Roman CYR" w:hAnsi="Times New Roman CYR" w:cs="Times New Roman CYR"/>
              </w:rPr>
              <w:t>вул. Мічуріна,28 та д</w:t>
            </w:r>
            <w:r w:rsidR="002717C6">
              <w:rPr>
                <w:rFonts w:ascii="Times New Roman CYR" w:hAnsi="Times New Roman CYR" w:cs="Times New Roman CYR"/>
              </w:rPr>
              <w:t xml:space="preserve">ошкільного закладу №24 по  вул. </w:t>
            </w:r>
            <w:r>
              <w:rPr>
                <w:rFonts w:ascii="Times New Roman CYR" w:hAnsi="Times New Roman CYR" w:cs="Times New Roman CYR"/>
              </w:rPr>
              <w:t xml:space="preserve">Мічуріна,30. до будинку №76 по вул. Мічуріна 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7 ,4</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дитячого садка по вул. Генерала </w:t>
            </w:r>
            <w:proofErr w:type="spellStart"/>
            <w:r>
              <w:rPr>
                <w:rFonts w:ascii="Times New Roman CYR" w:hAnsi="Times New Roman CYR" w:cs="Times New Roman CYR"/>
              </w:rPr>
              <w:t>Манагарова</w:t>
            </w:r>
            <w:proofErr w:type="spellEnd"/>
            <w:r>
              <w:rPr>
                <w:rFonts w:ascii="Times New Roman CYR" w:hAnsi="Times New Roman CYR" w:cs="Times New Roman CYR"/>
              </w:rPr>
              <w:t xml:space="preserve">, 5-А  в </w:t>
            </w:r>
            <w:r w:rsidR="002717C6">
              <w:rPr>
                <w:rFonts w:ascii="Times New Roman CYR" w:hAnsi="Times New Roman CYR" w:cs="Times New Roman CYR"/>
              </w:rPr>
              <w:t xml:space="preserve">           </w:t>
            </w:r>
            <w:r>
              <w:rPr>
                <w:rFonts w:ascii="Times New Roman CYR" w:hAnsi="Times New Roman CYR" w:cs="Times New Roman CYR"/>
              </w:rPr>
              <w:t xml:space="preserve">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tcPr>
          <w:p w:rsidR="00D61483" w:rsidRDefault="00D61483">
            <w:pPr>
              <w:widowControl w:val="0"/>
              <w:jc w:val="center"/>
              <w:rPr>
                <w:rFonts w:ascii="Times New Roman CYR" w:hAnsi="Times New Roman CYR" w:cs="Times New Roman CYR"/>
              </w:rPr>
            </w:pPr>
            <w:r>
              <w:rPr>
                <w:rFonts w:ascii="Times New Roman CYR" w:hAnsi="Times New Roman CYR" w:cs="Times New Roman CYR"/>
              </w:rPr>
              <w:t>168, 0</w:t>
            </w:r>
          </w:p>
          <w:p w:rsidR="00D61483" w:rsidRDefault="00D61483">
            <w:pPr>
              <w:widowControl w:val="0"/>
              <w:overflowPunct w:val="0"/>
              <w:autoSpaceDE w:val="0"/>
              <w:autoSpaceDN w:val="0"/>
              <w:adjustRightInd w:val="0"/>
              <w:jc w:val="center"/>
              <w:rPr>
                <w:rFonts w:ascii="Times New Roman CYR" w:hAnsi="Times New Roman CYR" w:cs="Times New Roman CYR"/>
              </w:rPr>
            </w:pP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Реконструкція другого поверху корпусу інфекційного відділення другої міської лікарні під </w:t>
            </w:r>
            <w:proofErr w:type="spellStart"/>
            <w:r>
              <w:rPr>
                <w:rFonts w:ascii="Times New Roman CYR" w:hAnsi="Times New Roman CYR" w:cs="Times New Roman CYR"/>
              </w:rPr>
              <w:t>хосп</w:t>
            </w:r>
            <w:r w:rsidR="002717C6">
              <w:rPr>
                <w:rFonts w:ascii="Times New Roman CYR" w:hAnsi="Times New Roman CYR" w:cs="Times New Roman CYR"/>
              </w:rPr>
              <w:t>іс</w:t>
            </w:r>
            <w:proofErr w:type="spellEnd"/>
            <w:r w:rsidR="002717C6">
              <w:rPr>
                <w:rFonts w:ascii="Times New Roman CYR" w:hAnsi="Times New Roman CYR" w:cs="Times New Roman CYR"/>
              </w:rPr>
              <w:t xml:space="preserve"> з прибудовою ліфта по </w:t>
            </w:r>
            <w:proofErr w:type="spellStart"/>
            <w:r w:rsidR="002717C6">
              <w:rPr>
                <w:rFonts w:ascii="Times New Roman CYR" w:hAnsi="Times New Roman CYR" w:cs="Times New Roman CYR"/>
              </w:rPr>
              <w:t>вул.</w:t>
            </w:r>
            <w:r>
              <w:rPr>
                <w:rFonts w:ascii="Times New Roman CYR" w:hAnsi="Times New Roman CYR" w:cs="Times New Roman CYR"/>
              </w:rPr>
              <w:t>Манагарова</w:t>
            </w:r>
            <w:proofErr w:type="spellEnd"/>
            <w:r>
              <w:rPr>
                <w:rFonts w:ascii="Times New Roman CYR" w:hAnsi="Times New Roman CYR" w:cs="Times New Roman CYR"/>
              </w:rPr>
              <w:t xml:space="preserve">, 7 в м. </w:t>
            </w:r>
            <w:proofErr w:type="spellStart"/>
            <w:r>
              <w:rPr>
                <w:rFonts w:ascii="Times New Roman CYR" w:hAnsi="Times New Roman CYR" w:cs="Times New Roman CYR"/>
              </w:rPr>
              <w:t>Кременчуці</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430, 9</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Реконструкція приймального відділення Кременчуцької міської дитячої лікарні з оснащенням медичним та іншим обладнанням</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578 ,4</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Реконст</w:t>
            </w:r>
            <w:r w:rsidR="002717C6">
              <w:rPr>
                <w:rFonts w:ascii="Times New Roman CYR" w:hAnsi="Times New Roman CYR" w:cs="Times New Roman CYR"/>
              </w:rPr>
              <w:t>р</w:t>
            </w:r>
            <w:r>
              <w:rPr>
                <w:rFonts w:ascii="Times New Roman CYR" w:hAnsi="Times New Roman CYR" w:cs="Times New Roman CYR"/>
              </w:rPr>
              <w:t xml:space="preserve">укція (улаштування) теплоізоляції фасадів житлових будинків </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498,1 </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Реконст</w:t>
            </w:r>
            <w:r w:rsidR="002717C6">
              <w:rPr>
                <w:rFonts w:ascii="Times New Roman CYR" w:hAnsi="Times New Roman CYR" w:cs="Times New Roman CYR"/>
              </w:rPr>
              <w:t>р</w:t>
            </w:r>
            <w:r>
              <w:rPr>
                <w:rFonts w:ascii="Times New Roman CYR" w:hAnsi="Times New Roman CYR" w:cs="Times New Roman CYR"/>
              </w:rPr>
              <w:t xml:space="preserve">укція шиферних покрівель житлових будинків </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542,6</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Влаштування нових дитячих ігрових майданчиків на прибудинкових територіях житлових будинків м. Кременчука (відповідно до Міської програми влаштування нових дитячих ігрових майданчиків на 2013 – 2018 роки)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173,7</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Будівництво сектору А 5-ої черги </w:t>
            </w:r>
            <w:proofErr w:type="spellStart"/>
            <w:r>
              <w:rPr>
                <w:rFonts w:ascii="Times New Roman CYR" w:hAnsi="Times New Roman CYR" w:cs="Times New Roman CYR"/>
              </w:rPr>
              <w:t>Свіштовського</w:t>
            </w:r>
            <w:proofErr w:type="spellEnd"/>
            <w:r>
              <w:rPr>
                <w:rFonts w:ascii="Times New Roman CYR" w:hAnsi="Times New Roman CYR" w:cs="Times New Roman CYR"/>
              </w:rPr>
              <w:t xml:space="preserve"> кладовища</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1 003, 8</w:t>
            </w:r>
          </w:p>
        </w:tc>
      </w:tr>
      <w:tr w:rsidR="00D61483" w:rsidTr="002717C6">
        <w:tc>
          <w:tcPr>
            <w:tcW w:w="7479" w:type="dxa"/>
            <w:tcBorders>
              <w:top w:val="single" w:sz="6" w:space="0" w:color="auto"/>
              <w:left w:val="single" w:sz="6" w:space="0" w:color="auto"/>
              <w:bottom w:val="single" w:sz="6" w:space="0" w:color="auto"/>
              <w:right w:val="single" w:sz="6" w:space="0" w:color="auto"/>
            </w:tcBorders>
            <w:hideMark/>
          </w:tcPr>
          <w:p w:rsidR="00D61483" w:rsidRDefault="00D61483" w:rsidP="002717C6">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Виконання робіт по об’єкту з </w:t>
            </w:r>
            <w:r w:rsidR="002717C6">
              <w:rPr>
                <w:rFonts w:ascii="Times New Roman CYR" w:hAnsi="Times New Roman CYR" w:cs="Times New Roman CYR"/>
              </w:rPr>
              <w:t>«</w:t>
            </w:r>
            <w:r>
              <w:rPr>
                <w:rFonts w:ascii="Times New Roman CYR" w:hAnsi="Times New Roman CYR" w:cs="Times New Roman CYR"/>
              </w:rPr>
              <w:t>Реконструкції (улаштування) теплоізоляції фасаду житлового будинку №25  по проспект</w:t>
            </w:r>
            <w:r w:rsidR="002717C6">
              <w:rPr>
                <w:rFonts w:ascii="Times New Roman CYR" w:hAnsi="Times New Roman CYR" w:cs="Times New Roman CYR"/>
              </w:rPr>
              <w:t xml:space="preserve">у Лесі Українки в м. </w:t>
            </w:r>
            <w:proofErr w:type="spellStart"/>
            <w:r w:rsidR="002717C6">
              <w:rPr>
                <w:rFonts w:ascii="Times New Roman CYR" w:hAnsi="Times New Roman CYR" w:cs="Times New Roman CYR"/>
              </w:rPr>
              <w:t>Кременчуці</w:t>
            </w:r>
            <w:proofErr w:type="spellEnd"/>
            <w:r w:rsidR="002717C6">
              <w:rPr>
                <w:rFonts w:ascii="Times New Roman CYR" w:hAnsi="Times New Roman CYR" w:cs="Times New Roman CYR"/>
              </w:rPr>
              <w:t>»</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359, 2</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rsidP="002717C6">
            <w:pPr>
              <w:widowControl w:val="0"/>
              <w:overflowPunct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Будівництво системи крапельного поливу об’єкту благоустрою зеленої зони круг-розворот на пивзаводі  (КП </w:t>
            </w:r>
            <w:r w:rsidR="002717C6">
              <w:rPr>
                <w:rFonts w:ascii="Times New Roman CYR" w:hAnsi="Times New Roman CYR" w:cs="Times New Roman CYR"/>
              </w:rPr>
              <w:t>«Благоустрій Кременчука»</w:t>
            </w:r>
            <w:r>
              <w:rPr>
                <w:rFonts w:ascii="Times New Roman CYR" w:hAnsi="Times New Roman CYR" w:cs="Times New Roman CYR"/>
              </w:rPr>
              <w:t>)</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150 ,0</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tcPr>
          <w:p w:rsidR="00D61483" w:rsidRDefault="00D61483" w:rsidP="002717C6">
            <w:pPr>
              <w:widowControl w:val="0"/>
              <w:jc w:val="both"/>
              <w:rPr>
                <w:rFonts w:ascii="Times New Roman CYR" w:hAnsi="Times New Roman CYR" w:cs="Times New Roman CYR"/>
              </w:rPr>
            </w:pPr>
            <w:r>
              <w:rPr>
                <w:rFonts w:ascii="Times New Roman CYR" w:hAnsi="Times New Roman CYR" w:cs="Times New Roman CYR"/>
              </w:rPr>
              <w:t>Розробка схем та проектних рішень масового застосування</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1,6</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Розробка проектно-кошторисної документації на реконструкцію комунального стадіону по вул.Гагаріна,26-а</w:t>
            </w:r>
          </w:p>
        </w:tc>
        <w:tc>
          <w:tcPr>
            <w:tcW w:w="2268" w:type="dxa"/>
            <w:tcBorders>
              <w:top w:val="single" w:sz="6" w:space="0" w:color="auto"/>
              <w:left w:val="single" w:sz="6" w:space="0" w:color="auto"/>
              <w:bottom w:val="single" w:sz="6" w:space="0" w:color="auto"/>
              <w:right w:val="single" w:sz="6" w:space="0" w:color="auto"/>
            </w:tcBorders>
            <w:vAlign w:val="center"/>
            <w:hideMark/>
          </w:tcPr>
          <w:p w:rsidR="00D61483" w:rsidRDefault="00D61483">
            <w:pPr>
              <w:widowControl w:val="0"/>
              <w:overflowPunct w:val="0"/>
              <w:autoSpaceDE w:val="0"/>
              <w:autoSpaceDN w:val="0"/>
              <w:adjustRightInd w:val="0"/>
              <w:jc w:val="center"/>
              <w:rPr>
                <w:rFonts w:ascii="Times New Roman CYR" w:hAnsi="Times New Roman CYR" w:cs="Times New Roman CYR"/>
              </w:rPr>
            </w:pPr>
            <w:r>
              <w:rPr>
                <w:rFonts w:ascii="Times New Roman CYR" w:hAnsi="Times New Roman CYR" w:cs="Times New Roman CYR"/>
              </w:rPr>
              <w:t>114,7</w:t>
            </w:r>
          </w:p>
        </w:tc>
      </w:tr>
      <w:tr w:rsidR="00D61483" w:rsidTr="002717C6">
        <w:tc>
          <w:tcPr>
            <w:tcW w:w="7479" w:type="dxa"/>
            <w:tcBorders>
              <w:top w:val="single" w:sz="6" w:space="0" w:color="auto"/>
              <w:left w:val="single" w:sz="6" w:space="0" w:color="auto"/>
              <w:bottom w:val="single" w:sz="6" w:space="0" w:color="auto"/>
              <w:right w:val="single" w:sz="6" w:space="0" w:color="auto"/>
            </w:tcBorders>
            <w:vAlign w:val="bottom"/>
            <w:hideMark/>
          </w:tcPr>
          <w:p w:rsidR="00D61483" w:rsidRDefault="00D61483">
            <w:pPr>
              <w:widowControl w:val="0"/>
              <w:overflowPunct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Реалізація заходів щодо інвестиційного розвитку території (спортивні майданчики)</w:t>
            </w:r>
          </w:p>
        </w:tc>
        <w:tc>
          <w:tcPr>
            <w:tcW w:w="2268" w:type="dxa"/>
            <w:tcBorders>
              <w:top w:val="single" w:sz="6" w:space="0" w:color="auto"/>
              <w:left w:val="single" w:sz="6" w:space="0" w:color="auto"/>
              <w:bottom w:val="single" w:sz="6" w:space="0" w:color="auto"/>
              <w:right w:val="single" w:sz="6" w:space="0" w:color="auto"/>
            </w:tcBorders>
            <w:vAlign w:val="center"/>
          </w:tcPr>
          <w:p w:rsidR="00D61483" w:rsidRDefault="00D61483">
            <w:pPr>
              <w:widowControl w:val="0"/>
              <w:jc w:val="center"/>
              <w:rPr>
                <w:rFonts w:ascii="Times New Roman CYR" w:hAnsi="Times New Roman CYR" w:cs="Times New Roman CYR"/>
              </w:rPr>
            </w:pPr>
            <w:r>
              <w:rPr>
                <w:rFonts w:ascii="Times New Roman CYR" w:hAnsi="Times New Roman CYR" w:cs="Times New Roman CYR"/>
              </w:rPr>
              <w:t>12,1</w:t>
            </w:r>
          </w:p>
          <w:p w:rsidR="00D61483" w:rsidRDefault="00D61483">
            <w:pPr>
              <w:widowControl w:val="0"/>
              <w:overflowPunct w:val="0"/>
              <w:autoSpaceDE w:val="0"/>
              <w:autoSpaceDN w:val="0"/>
              <w:adjustRightInd w:val="0"/>
              <w:jc w:val="center"/>
              <w:rPr>
                <w:rFonts w:ascii="Times New Roman CYR" w:hAnsi="Times New Roman CYR" w:cs="Times New Roman CYR"/>
              </w:rPr>
            </w:pPr>
          </w:p>
        </w:tc>
      </w:tr>
    </w:tbl>
    <w:p w:rsidR="00D61483" w:rsidRDefault="00D61483" w:rsidP="00D61483">
      <w:pPr>
        <w:widowControl w:val="0"/>
        <w:ind w:firstLine="720"/>
        <w:jc w:val="both"/>
        <w:rPr>
          <w:rFonts w:ascii="Times New Roman CYR" w:hAnsi="Times New Roman CYR" w:cs="Times New Roman CYR"/>
          <w:sz w:val="28"/>
          <w:szCs w:val="28"/>
        </w:rPr>
      </w:pPr>
    </w:p>
    <w:p w:rsidR="00D61483" w:rsidRDefault="00D61483" w:rsidP="00D61483">
      <w:pPr>
        <w:suppressAutoHyphens/>
        <w:ind w:firstLine="709"/>
        <w:jc w:val="both"/>
        <w:rPr>
          <w:sz w:val="28"/>
          <w:szCs w:val="28"/>
        </w:rPr>
      </w:pPr>
      <w:r>
        <w:rPr>
          <w:sz w:val="28"/>
          <w:szCs w:val="28"/>
        </w:rPr>
        <w:t xml:space="preserve">В міському бюджеті на 2017 рік передбачено надати пільгові довгострокові кредити  громадянам на будівництво (реконструкцію) та придбання житла в сумі 3 073,6 тис. грн., в </w:t>
      </w:r>
      <w:proofErr w:type="spellStart"/>
      <w:r>
        <w:rPr>
          <w:sz w:val="28"/>
          <w:szCs w:val="28"/>
        </w:rPr>
        <w:t>т.ч</w:t>
      </w:r>
      <w:proofErr w:type="spellEnd"/>
      <w:r>
        <w:rPr>
          <w:sz w:val="28"/>
          <w:szCs w:val="28"/>
        </w:rPr>
        <w:t xml:space="preserve">. </w:t>
      </w:r>
    </w:p>
    <w:p w:rsidR="00D61483" w:rsidRDefault="00D61483" w:rsidP="00D61483">
      <w:pPr>
        <w:suppressAutoHyphens/>
        <w:ind w:firstLine="709"/>
        <w:jc w:val="both"/>
        <w:rPr>
          <w:sz w:val="28"/>
          <w:szCs w:val="28"/>
        </w:rPr>
      </w:pPr>
      <w:r>
        <w:rPr>
          <w:sz w:val="28"/>
          <w:szCs w:val="28"/>
        </w:rPr>
        <w:t>- за рахунок бюджету розвитку 2 500,0 тис. грн.</w:t>
      </w:r>
      <w:r w:rsidR="002717C6">
        <w:rPr>
          <w:sz w:val="28"/>
          <w:szCs w:val="28"/>
        </w:rPr>
        <w:t>;</w:t>
      </w:r>
    </w:p>
    <w:p w:rsidR="00D61483" w:rsidRDefault="00D61483" w:rsidP="00D61483">
      <w:pPr>
        <w:suppressAutoHyphens/>
        <w:ind w:firstLine="709"/>
        <w:jc w:val="both"/>
        <w:rPr>
          <w:sz w:val="28"/>
          <w:szCs w:val="28"/>
        </w:rPr>
      </w:pPr>
      <w:r>
        <w:rPr>
          <w:sz w:val="28"/>
          <w:szCs w:val="28"/>
        </w:rPr>
        <w:t>- за рахунок повернення  коштів, наданих на кредитування громадянам на будівництво (реконструкцію) та придбання житла в попередні роки та відсотків за користування пільговими довгостроковими кредитами –</w:t>
      </w:r>
      <w:r w:rsidR="00A0081A">
        <w:rPr>
          <w:sz w:val="28"/>
          <w:szCs w:val="28"/>
        </w:rPr>
        <w:t xml:space="preserve"> </w:t>
      </w:r>
      <w:r>
        <w:rPr>
          <w:sz w:val="28"/>
          <w:szCs w:val="28"/>
        </w:rPr>
        <w:t xml:space="preserve">573,6 тис. грн. </w:t>
      </w:r>
    </w:p>
    <w:p w:rsidR="00D61483" w:rsidRDefault="00D61483" w:rsidP="00D61483">
      <w:pPr>
        <w:suppressAutoHyphens/>
        <w:ind w:firstLine="709"/>
        <w:jc w:val="both"/>
        <w:rPr>
          <w:sz w:val="28"/>
          <w:szCs w:val="28"/>
        </w:rPr>
      </w:pPr>
      <w:r>
        <w:rPr>
          <w:sz w:val="28"/>
          <w:szCs w:val="28"/>
        </w:rPr>
        <w:t>Касові видатки в звітному періоді склали 2 771,5 тис.</w:t>
      </w:r>
      <w:r w:rsidR="00A0081A">
        <w:rPr>
          <w:sz w:val="28"/>
          <w:szCs w:val="28"/>
        </w:rPr>
        <w:t xml:space="preserve"> </w:t>
      </w:r>
      <w:r>
        <w:rPr>
          <w:sz w:val="28"/>
          <w:szCs w:val="28"/>
        </w:rPr>
        <w:t>грн., що дорівнює 90,2% річного плану та 100% виконання плану за звітний період.</w:t>
      </w:r>
    </w:p>
    <w:p w:rsidR="00D61483" w:rsidRDefault="00D61483" w:rsidP="00D61483">
      <w:pPr>
        <w:suppressAutoHyphens/>
        <w:ind w:firstLine="709"/>
        <w:jc w:val="both"/>
        <w:rPr>
          <w:sz w:val="28"/>
          <w:szCs w:val="28"/>
        </w:rPr>
      </w:pPr>
      <w:r>
        <w:rPr>
          <w:sz w:val="28"/>
          <w:szCs w:val="28"/>
        </w:rPr>
        <w:t>Повернення раніше наданих кредитів та відсотків за користування ними при плані 758,0 тис. грн. в звітному періоді повернуто 344,0 тис. грн., що дорівнює 45,4% річного плану та 100% виконанню плану за звітний період.</w:t>
      </w:r>
    </w:p>
    <w:p w:rsidR="00D61483" w:rsidRDefault="00D61483" w:rsidP="00D61483">
      <w:pPr>
        <w:suppressAutoHyphens/>
        <w:ind w:firstLine="709"/>
        <w:jc w:val="both"/>
        <w:rPr>
          <w:sz w:val="28"/>
          <w:szCs w:val="28"/>
        </w:rPr>
      </w:pPr>
      <w:r>
        <w:rPr>
          <w:sz w:val="28"/>
          <w:szCs w:val="28"/>
        </w:rPr>
        <w:t xml:space="preserve">В міському бюджеті на 2017 рік за рахунок повернення раніше наданих кредитів та відсотків за користування ними передбачено витрати, пов’язані з наданням та обслуговуванням пільгових довгострокових кредитів, наданих </w:t>
      </w:r>
      <w:r>
        <w:rPr>
          <w:sz w:val="28"/>
          <w:szCs w:val="28"/>
        </w:rPr>
        <w:lastRenderedPageBreak/>
        <w:t xml:space="preserve">громадянам на будівництво (реконструкцію) та придбання житла в сумі   </w:t>
      </w:r>
      <w:r w:rsidR="002717C6">
        <w:rPr>
          <w:sz w:val="28"/>
          <w:szCs w:val="28"/>
        </w:rPr>
        <w:t xml:space="preserve">                </w:t>
      </w:r>
      <w:r>
        <w:rPr>
          <w:sz w:val="28"/>
          <w:szCs w:val="28"/>
        </w:rPr>
        <w:t>184,4 тис. грн. Касові видатки в звітному періоді  склали 112,5</w:t>
      </w:r>
      <w:r w:rsidR="002717C6">
        <w:rPr>
          <w:sz w:val="28"/>
          <w:szCs w:val="28"/>
        </w:rPr>
        <w:t xml:space="preserve"> </w:t>
      </w:r>
      <w:r>
        <w:rPr>
          <w:sz w:val="28"/>
          <w:szCs w:val="28"/>
        </w:rPr>
        <w:t>тис.</w:t>
      </w:r>
      <w:r w:rsidR="006B3F39">
        <w:rPr>
          <w:sz w:val="28"/>
          <w:szCs w:val="28"/>
        </w:rPr>
        <w:t xml:space="preserve"> </w:t>
      </w:r>
      <w:r>
        <w:rPr>
          <w:sz w:val="28"/>
          <w:szCs w:val="28"/>
        </w:rPr>
        <w:t>грн., що дорівнює 61,0% річного плану та 100% виконання плану за звітний період.</w:t>
      </w:r>
    </w:p>
    <w:p w:rsidR="00D61483" w:rsidRDefault="00D61483" w:rsidP="00D61483">
      <w:pPr>
        <w:suppressAutoHyphens/>
        <w:ind w:firstLine="709"/>
        <w:jc w:val="both"/>
        <w:rPr>
          <w:sz w:val="28"/>
          <w:szCs w:val="28"/>
        </w:rPr>
      </w:pPr>
      <w:r>
        <w:rPr>
          <w:sz w:val="28"/>
          <w:szCs w:val="28"/>
        </w:rPr>
        <w:t xml:space="preserve">Відповідно до статті VІ Договору про </w:t>
      </w:r>
      <w:proofErr w:type="spellStart"/>
      <w:r>
        <w:rPr>
          <w:sz w:val="28"/>
          <w:szCs w:val="28"/>
        </w:rPr>
        <w:t>субкредитування</w:t>
      </w:r>
      <w:proofErr w:type="spellEnd"/>
      <w:r>
        <w:rPr>
          <w:sz w:val="28"/>
          <w:szCs w:val="28"/>
        </w:rPr>
        <w:t xml:space="preserve"> №28010-02/11 </w:t>
      </w:r>
      <w:r w:rsidR="002717C6">
        <w:rPr>
          <w:sz w:val="28"/>
          <w:szCs w:val="28"/>
        </w:rPr>
        <w:t xml:space="preserve">             </w:t>
      </w:r>
      <w:r>
        <w:rPr>
          <w:sz w:val="28"/>
          <w:szCs w:val="28"/>
        </w:rPr>
        <w:t>від 27.01.2010 року між Міністерством фінансів України, Міністерством з питань житлово-комунального господарства України та комунальним підприємством «</w:t>
      </w:r>
      <w:proofErr w:type="spellStart"/>
      <w:r>
        <w:rPr>
          <w:sz w:val="28"/>
          <w:szCs w:val="28"/>
        </w:rPr>
        <w:t>Кременчукводоканал</w:t>
      </w:r>
      <w:proofErr w:type="spellEnd"/>
      <w:r>
        <w:rPr>
          <w:sz w:val="28"/>
          <w:szCs w:val="28"/>
        </w:rPr>
        <w:t xml:space="preserve">» «Про використання сум позики, що надається Україні Міжнародним банком реконструкції та розвитку» (Угода про позику «Проект розвитку міської інфраструктури» №4869-UA від 26.05.2008) засобом забезпечення виконання </w:t>
      </w:r>
      <w:proofErr w:type="spellStart"/>
      <w:r>
        <w:rPr>
          <w:sz w:val="28"/>
          <w:szCs w:val="28"/>
        </w:rPr>
        <w:t>субпозичальником</w:t>
      </w:r>
      <w:proofErr w:type="spellEnd"/>
      <w:r>
        <w:rPr>
          <w:sz w:val="28"/>
          <w:szCs w:val="28"/>
        </w:rPr>
        <w:t xml:space="preserve"> своїх зобов’язань є гарантія Кременчуцької міської ради </w:t>
      </w:r>
      <w:r w:rsidR="002717C6">
        <w:rPr>
          <w:sz w:val="28"/>
          <w:szCs w:val="28"/>
        </w:rPr>
        <w:t xml:space="preserve">Полтавської області </w:t>
      </w:r>
      <w:r>
        <w:rPr>
          <w:sz w:val="28"/>
          <w:szCs w:val="28"/>
        </w:rPr>
        <w:t xml:space="preserve">від 21.08.2009 №1, надана Кременчуцькою міською радою </w:t>
      </w:r>
      <w:r w:rsidR="00B65E9B">
        <w:rPr>
          <w:sz w:val="28"/>
          <w:szCs w:val="28"/>
        </w:rPr>
        <w:t xml:space="preserve">Полтавської області </w:t>
      </w:r>
      <w:r>
        <w:rPr>
          <w:sz w:val="28"/>
          <w:szCs w:val="28"/>
        </w:rPr>
        <w:t xml:space="preserve">Міністерству фінансів України. </w:t>
      </w:r>
    </w:p>
    <w:p w:rsidR="00D61483" w:rsidRDefault="00D61483" w:rsidP="00D61483">
      <w:pPr>
        <w:suppressAutoHyphens/>
        <w:ind w:firstLine="709"/>
        <w:jc w:val="both"/>
        <w:rPr>
          <w:sz w:val="28"/>
          <w:szCs w:val="28"/>
        </w:rPr>
      </w:pPr>
      <w:r>
        <w:rPr>
          <w:sz w:val="28"/>
          <w:szCs w:val="28"/>
        </w:rPr>
        <w:t xml:space="preserve">Загальна сума </w:t>
      </w:r>
      <w:proofErr w:type="spellStart"/>
      <w:r>
        <w:rPr>
          <w:sz w:val="28"/>
          <w:szCs w:val="28"/>
        </w:rPr>
        <w:t>субкредиту</w:t>
      </w:r>
      <w:proofErr w:type="spellEnd"/>
      <w:r>
        <w:rPr>
          <w:sz w:val="28"/>
          <w:szCs w:val="28"/>
        </w:rPr>
        <w:t xml:space="preserve"> відповідно до Додаткової Угоди  від 01 квітня 2016 року № 28010-02/11-3 до Договору про </w:t>
      </w:r>
      <w:proofErr w:type="spellStart"/>
      <w:r>
        <w:rPr>
          <w:sz w:val="28"/>
          <w:szCs w:val="28"/>
        </w:rPr>
        <w:t>субкредитування</w:t>
      </w:r>
      <w:proofErr w:type="spellEnd"/>
      <w:r>
        <w:rPr>
          <w:sz w:val="28"/>
          <w:szCs w:val="28"/>
        </w:rPr>
        <w:t xml:space="preserve"> №28010-02/11 від 27.01.2010 складає 6 528 743,88 </w:t>
      </w:r>
      <w:proofErr w:type="spellStart"/>
      <w:r>
        <w:rPr>
          <w:sz w:val="28"/>
          <w:szCs w:val="28"/>
        </w:rPr>
        <w:t>дол</w:t>
      </w:r>
      <w:proofErr w:type="spellEnd"/>
      <w:r>
        <w:rPr>
          <w:sz w:val="28"/>
          <w:szCs w:val="28"/>
        </w:rPr>
        <w:t xml:space="preserve">. США.  У відповідності до графіку погашення  основної суми </w:t>
      </w:r>
      <w:proofErr w:type="spellStart"/>
      <w:r>
        <w:rPr>
          <w:sz w:val="28"/>
          <w:szCs w:val="28"/>
        </w:rPr>
        <w:t>субкредиту</w:t>
      </w:r>
      <w:proofErr w:type="spellEnd"/>
      <w:r>
        <w:rPr>
          <w:sz w:val="28"/>
          <w:szCs w:val="28"/>
        </w:rPr>
        <w:t xml:space="preserve"> останній платіж передбачається </w:t>
      </w:r>
      <w:r w:rsidR="00B65E9B">
        <w:rPr>
          <w:sz w:val="28"/>
          <w:szCs w:val="28"/>
        </w:rPr>
        <w:t xml:space="preserve">                    </w:t>
      </w:r>
      <w:r>
        <w:rPr>
          <w:sz w:val="28"/>
          <w:szCs w:val="28"/>
        </w:rPr>
        <w:t xml:space="preserve">15 жовтня 2027 року. </w:t>
      </w:r>
    </w:p>
    <w:p w:rsidR="00D61483" w:rsidRDefault="00D61483" w:rsidP="00D61483">
      <w:pPr>
        <w:suppressAutoHyphens/>
        <w:ind w:firstLine="709"/>
        <w:jc w:val="both"/>
        <w:rPr>
          <w:sz w:val="28"/>
          <w:szCs w:val="28"/>
        </w:rPr>
      </w:pPr>
      <w:r>
        <w:rPr>
          <w:sz w:val="28"/>
          <w:szCs w:val="28"/>
        </w:rPr>
        <w:t xml:space="preserve"> В 2017 році погашення основної суми </w:t>
      </w:r>
      <w:proofErr w:type="spellStart"/>
      <w:r>
        <w:rPr>
          <w:sz w:val="28"/>
          <w:szCs w:val="28"/>
        </w:rPr>
        <w:t>субкредиту</w:t>
      </w:r>
      <w:proofErr w:type="spellEnd"/>
      <w:r>
        <w:rPr>
          <w:sz w:val="28"/>
          <w:szCs w:val="28"/>
        </w:rPr>
        <w:t xml:space="preserve"> передбачається здійснювати двома </w:t>
      </w:r>
      <w:proofErr w:type="spellStart"/>
      <w:r>
        <w:rPr>
          <w:sz w:val="28"/>
          <w:szCs w:val="28"/>
        </w:rPr>
        <w:t>платежами</w:t>
      </w:r>
      <w:proofErr w:type="spellEnd"/>
      <w:r>
        <w:rPr>
          <w:sz w:val="28"/>
          <w:szCs w:val="28"/>
        </w:rPr>
        <w:t xml:space="preserve"> 15 квітня 2017 року та 15 жовтня 2017 року  в загальній сумі 431 748,26 </w:t>
      </w:r>
      <w:proofErr w:type="spellStart"/>
      <w:r>
        <w:rPr>
          <w:sz w:val="28"/>
          <w:szCs w:val="28"/>
        </w:rPr>
        <w:t>дол</w:t>
      </w:r>
      <w:proofErr w:type="spellEnd"/>
      <w:r>
        <w:rPr>
          <w:sz w:val="28"/>
          <w:szCs w:val="28"/>
        </w:rPr>
        <w:t xml:space="preserve">. США. Сплата відсотків та маржі відповідно до договору  здійснюється двічі на рік 15 квітня і 15 жовтня 2017 року. </w:t>
      </w:r>
    </w:p>
    <w:p w:rsidR="00D61483" w:rsidRDefault="00D61483" w:rsidP="00D61483">
      <w:pPr>
        <w:suppressAutoHyphens/>
        <w:ind w:firstLine="709"/>
        <w:jc w:val="both"/>
        <w:rPr>
          <w:sz w:val="28"/>
          <w:szCs w:val="28"/>
        </w:rPr>
      </w:pPr>
      <w:r>
        <w:rPr>
          <w:sz w:val="28"/>
          <w:szCs w:val="28"/>
        </w:rPr>
        <w:t>Видатки на виконання наданих місцевих гарантій на 2017 рік визначені в сумі 7</w:t>
      </w:r>
      <w:r w:rsidR="00B65E9B">
        <w:rPr>
          <w:sz w:val="28"/>
          <w:szCs w:val="28"/>
        </w:rPr>
        <w:t xml:space="preserve"> </w:t>
      </w:r>
      <w:r>
        <w:rPr>
          <w:sz w:val="28"/>
          <w:szCs w:val="28"/>
        </w:rPr>
        <w:t>000,0 тис. грн. Касові видатки в з</w:t>
      </w:r>
      <w:r w:rsidR="00B65E9B">
        <w:rPr>
          <w:sz w:val="28"/>
          <w:szCs w:val="28"/>
        </w:rPr>
        <w:t>вітному періоді  проведені в пов</w:t>
      </w:r>
      <w:r>
        <w:rPr>
          <w:sz w:val="28"/>
          <w:szCs w:val="28"/>
        </w:rPr>
        <w:t>ному обсязі.</w:t>
      </w:r>
    </w:p>
    <w:p w:rsidR="00A0081A" w:rsidRDefault="00D61483" w:rsidP="00D61483">
      <w:pPr>
        <w:suppressAutoHyphens/>
        <w:ind w:firstLine="709"/>
        <w:jc w:val="both"/>
        <w:rPr>
          <w:sz w:val="28"/>
          <w:szCs w:val="28"/>
        </w:rPr>
      </w:pPr>
      <w:r>
        <w:rPr>
          <w:sz w:val="28"/>
          <w:szCs w:val="28"/>
        </w:rPr>
        <w:t>В 2017 році планується залучити кредит ЕБРР в сумі 2496,0 тис. євро  (загальна сума кредиту 8</w:t>
      </w:r>
      <w:r w:rsidR="00B65E9B">
        <w:rPr>
          <w:sz w:val="28"/>
          <w:szCs w:val="28"/>
        </w:rPr>
        <w:t xml:space="preserve"> </w:t>
      </w:r>
      <w:r>
        <w:rPr>
          <w:sz w:val="28"/>
          <w:szCs w:val="28"/>
        </w:rPr>
        <w:t>000,0 тис. євро )</w:t>
      </w:r>
      <w:r w:rsidR="00B65E9B">
        <w:rPr>
          <w:sz w:val="28"/>
          <w:szCs w:val="28"/>
        </w:rPr>
        <w:t xml:space="preserve"> </w:t>
      </w:r>
      <w:r>
        <w:rPr>
          <w:sz w:val="28"/>
          <w:szCs w:val="28"/>
        </w:rPr>
        <w:t>під місцеву гарантію. Мета кредиту</w:t>
      </w:r>
      <w:r w:rsidR="00A0081A">
        <w:rPr>
          <w:sz w:val="28"/>
          <w:szCs w:val="28"/>
        </w:rPr>
        <w:t xml:space="preserve"> –   </w:t>
      </w:r>
    </w:p>
    <w:p w:rsidR="00D61483" w:rsidRDefault="00D61483" w:rsidP="00A0081A">
      <w:pPr>
        <w:suppressAutoHyphens/>
        <w:jc w:val="both"/>
        <w:rPr>
          <w:sz w:val="28"/>
          <w:szCs w:val="28"/>
        </w:rPr>
      </w:pPr>
      <w:r>
        <w:rPr>
          <w:sz w:val="28"/>
          <w:szCs w:val="28"/>
        </w:rPr>
        <w:t xml:space="preserve">оновлення міського електротранспорту шляхом закупівлі тролейбусів для </w:t>
      </w:r>
      <w:r w:rsidR="00B65E9B">
        <w:rPr>
          <w:sz w:val="28"/>
          <w:szCs w:val="28"/>
        </w:rPr>
        <w:t xml:space="preserve">                  </w:t>
      </w:r>
      <w:r>
        <w:rPr>
          <w:sz w:val="28"/>
          <w:szCs w:val="28"/>
        </w:rPr>
        <w:t>КП «Кременчуцьке тролейбусне управління». Видатки на виконання місцевих гарантій по кредиту ЕБРР на 2017 рік визначені в сумі 4</w:t>
      </w:r>
      <w:r w:rsidR="00B65E9B">
        <w:rPr>
          <w:sz w:val="28"/>
          <w:szCs w:val="28"/>
        </w:rPr>
        <w:t xml:space="preserve"> </w:t>
      </w:r>
      <w:r>
        <w:rPr>
          <w:sz w:val="28"/>
          <w:szCs w:val="28"/>
        </w:rPr>
        <w:t>860,0 тис. грн. Касові видатки в звітному періоді  на оплату одноразової комісії та юридичних послуг склали 3 075,8 тис.</w:t>
      </w:r>
      <w:r w:rsidR="00B65E9B">
        <w:rPr>
          <w:sz w:val="28"/>
          <w:szCs w:val="28"/>
        </w:rPr>
        <w:t xml:space="preserve"> </w:t>
      </w:r>
      <w:r>
        <w:rPr>
          <w:sz w:val="28"/>
          <w:szCs w:val="28"/>
        </w:rPr>
        <w:t>грн., що дорівнює 63,3% річного плану та 90,5% виконання плану за звітний період.</w:t>
      </w:r>
    </w:p>
    <w:p w:rsidR="00D61483" w:rsidRDefault="00D61483" w:rsidP="00D61483">
      <w:pPr>
        <w:suppressAutoHyphens/>
        <w:ind w:firstLine="709"/>
        <w:jc w:val="both"/>
        <w:rPr>
          <w:sz w:val="28"/>
          <w:szCs w:val="28"/>
        </w:rPr>
      </w:pPr>
      <w:r>
        <w:rPr>
          <w:sz w:val="28"/>
          <w:szCs w:val="28"/>
        </w:rPr>
        <w:t xml:space="preserve">В 2017 році на підставі рішення Кременчуцької міської ради </w:t>
      </w:r>
      <w:r w:rsidR="00B65E9B">
        <w:rPr>
          <w:sz w:val="28"/>
          <w:szCs w:val="28"/>
        </w:rPr>
        <w:t xml:space="preserve">Полтавської області </w:t>
      </w:r>
      <w:r>
        <w:rPr>
          <w:sz w:val="28"/>
          <w:szCs w:val="28"/>
        </w:rPr>
        <w:t>від 31 травня 2016 року «Про залучення кредиту НЕФКО для фінансування інвестиційного проекту «</w:t>
      </w:r>
      <w:proofErr w:type="spellStart"/>
      <w:r>
        <w:rPr>
          <w:sz w:val="28"/>
          <w:szCs w:val="28"/>
        </w:rPr>
        <w:t>Термомодернізація</w:t>
      </w:r>
      <w:proofErr w:type="spellEnd"/>
      <w:r>
        <w:rPr>
          <w:sz w:val="28"/>
          <w:szCs w:val="28"/>
        </w:rPr>
        <w:t xml:space="preserve"> дитячого садка №32 та модернізація вуличного освітлення міста Кременчук Полтавської області» буде здійснено запозичення до міського бюджету на суму 3 927,017 тис. грн. (загальна сума кредиту 5 610,025</w:t>
      </w:r>
      <w:r w:rsidR="00B65E9B">
        <w:rPr>
          <w:sz w:val="28"/>
          <w:szCs w:val="28"/>
        </w:rPr>
        <w:t xml:space="preserve"> </w:t>
      </w:r>
      <w:r>
        <w:rPr>
          <w:sz w:val="28"/>
          <w:szCs w:val="28"/>
        </w:rPr>
        <w:t>тис. грн.)</w:t>
      </w:r>
    </w:p>
    <w:p w:rsidR="00D61483" w:rsidRDefault="00D61483" w:rsidP="00D61483">
      <w:pPr>
        <w:suppressAutoHyphens/>
        <w:ind w:firstLine="709"/>
        <w:jc w:val="both"/>
        <w:rPr>
          <w:sz w:val="28"/>
          <w:szCs w:val="28"/>
        </w:rPr>
      </w:pPr>
      <w:r>
        <w:rPr>
          <w:sz w:val="28"/>
          <w:szCs w:val="28"/>
        </w:rPr>
        <w:t>Запозичення до міського бюджету  здійснено шляхом отримання зовнішнього кредиту по кредитному договору між «Північною екологічною фінансовою корпорацією» (НЕФКО) та Кременчуцькою міською радою.</w:t>
      </w:r>
    </w:p>
    <w:p w:rsidR="00D61483" w:rsidRDefault="00D61483" w:rsidP="00D61483">
      <w:pPr>
        <w:suppressAutoHyphens/>
        <w:ind w:firstLine="709"/>
        <w:jc w:val="both"/>
        <w:rPr>
          <w:sz w:val="28"/>
          <w:szCs w:val="28"/>
        </w:rPr>
      </w:pPr>
      <w:r>
        <w:rPr>
          <w:sz w:val="28"/>
          <w:szCs w:val="28"/>
        </w:rPr>
        <w:t xml:space="preserve">Відсоткова ставка за користування кредитними коштами становить </w:t>
      </w:r>
      <w:r w:rsidR="00A0081A">
        <w:rPr>
          <w:sz w:val="28"/>
          <w:szCs w:val="28"/>
        </w:rPr>
        <w:t xml:space="preserve">                 </w:t>
      </w:r>
      <w:r>
        <w:rPr>
          <w:sz w:val="28"/>
          <w:szCs w:val="28"/>
        </w:rPr>
        <w:t>3% річних.</w:t>
      </w:r>
    </w:p>
    <w:p w:rsidR="00D61483" w:rsidRDefault="00D61483" w:rsidP="00D61483">
      <w:pPr>
        <w:suppressAutoHyphens/>
        <w:ind w:firstLine="709"/>
        <w:jc w:val="both"/>
        <w:rPr>
          <w:sz w:val="28"/>
          <w:szCs w:val="28"/>
        </w:rPr>
      </w:pPr>
      <w:r>
        <w:rPr>
          <w:sz w:val="28"/>
          <w:szCs w:val="28"/>
        </w:rPr>
        <w:t xml:space="preserve">Погашення кредиту та сплата відсотків по кредиту здійснюється щоквартально 15 березня, 15 червня, 15 вересня та 15 грудня, починаючи </w:t>
      </w:r>
      <w:r w:rsidR="00B65E9B">
        <w:rPr>
          <w:sz w:val="28"/>
          <w:szCs w:val="28"/>
        </w:rPr>
        <w:t xml:space="preserve">                </w:t>
      </w:r>
      <w:r>
        <w:rPr>
          <w:sz w:val="28"/>
          <w:szCs w:val="28"/>
        </w:rPr>
        <w:t>з 15 вересня 2017 року.</w:t>
      </w:r>
    </w:p>
    <w:p w:rsidR="00D61483" w:rsidRDefault="00D61483" w:rsidP="00D61483">
      <w:pPr>
        <w:suppressAutoHyphens/>
        <w:ind w:firstLine="709"/>
        <w:jc w:val="both"/>
        <w:rPr>
          <w:sz w:val="28"/>
          <w:szCs w:val="28"/>
        </w:rPr>
      </w:pPr>
      <w:r>
        <w:rPr>
          <w:sz w:val="28"/>
          <w:szCs w:val="28"/>
        </w:rPr>
        <w:lastRenderedPageBreak/>
        <w:t xml:space="preserve">Строк погашення основної суми боргу по запозиченню </w:t>
      </w:r>
      <w:r w:rsidR="00A0081A">
        <w:rPr>
          <w:sz w:val="28"/>
          <w:szCs w:val="28"/>
        </w:rPr>
        <w:t>–</w:t>
      </w:r>
      <w:r>
        <w:rPr>
          <w:sz w:val="28"/>
          <w:szCs w:val="28"/>
        </w:rPr>
        <w:t xml:space="preserve"> 15 червня </w:t>
      </w:r>
      <w:r w:rsidR="00B65E9B">
        <w:rPr>
          <w:sz w:val="28"/>
          <w:szCs w:val="28"/>
        </w:rPr>
        <w:t xml:space="preserve">              </w:t>
      </w:r>
      <w:r>
        <w:rPr>
          <w:sz w:val="28"/>
          <w:szCs w:val="28"/>
        </w:rPr>
        <w:t>2021 року.</w:t>
      </w:r>
    </w:p>
    <w:p w:rsidR="00D61483" w:rsidRDefault="00D61483" w:rsidP="00D61483">
      <w:pPr>
        <w:suppressAutoHyphens/>
        <w:ind w:firstLine="709"/>
        <w:jc w:val="both"/>
        <w:rPr>
          <w:sz w:val="28"/>
          <w:szCs w:val="28"/>
        </w:rPr>
      </w:pPr>
      <w:r>
        <w:rPr>
          <w:sz w:val="28"/>
          <w:szCs w:val="28"/>
        </w:rPr>
        <w:t>В 2017 році на обслуговування кредиту (сплату відсотків) передбачені видатки в сумі 176,550 тис.</w:t>
      </w:r>
      <w:r w:rsidR="00B65E9B">
        <w:rPr>
          <w:sz w:val="28"/>
          <w:szCs w:val="28"/>
        </w:rPr>
        <w:t xml:space="preserve"> </w:t>
      </w:r>
      <w:r>
        <w:rPr>
          <w:sz w:val="28"/>
          <w:szCs w:val="28"/>
        </w:rPr>
        <w:t>грн., на погашення основної суми боргу по запозиченню 701,254 тис.</w:t>
      </w:r>
      <w:r w:rsidR="00B65E9B">
        <w:rPr>
          <w:sz w:val="28"/>
          <w:szCs w:val="28"/>
        </w:rPr>
        <w:t xml:space="preserve"> </w:t>
      </w:r>
      <w:r>
        <w:rPr>
          <w:sz w:val="28"/>
          <w:szCs w:val="28"/>
        </w:rPr>
        <w:t>грн. Касові видатки в звітному періоді  на обслуговування кредиту (сплату відсотків)  склали 24,8 тис.</w:t>
      </w:r>
      <w:r w:rsidRPr="00D61483">
        <w:rPr>
          <w:sz w:val="28"/>
          <w:szCs w:val="28"/>
        </w:rPr>
        <w:t xml:space="preserve"> </w:t>
      </w:r>
      <w:r>
        <w:rPr>
          <w:sz w:val="28"/>
          <w:szCs w:val="28"/>
        </w:rPr>
        <w:t>грн, що дорівнює 14,1% річного плану та 27,6% виконання плану за звітний період.</w:t>
      </w:r>
    </w:p>
    <w:p w:rsidR="00D61483" w:rsidRDefault="00D61483" w:rsidP="00D61483">
      <w:pPr>
        <w:widowControl w:val="0"/>
        <w:ind w:firstLine="567"/>
        <w:jc w:val="both"/>
        <w:rPr>
          <w:rFonts w:ascii="Times New Roman CYR" w:hAnsi="Times New Roman CYR" w:cs="Times New Roman CYR"/>
          <w:b/>
          <w:bCs/>
          <w:sz w:val="28"/>
          <w:szCs w:val="28"/>
        </w:rPr>
      </w:pPr>
    </w:p>
    <w:p w:rsidR="00D61483" w:rsidRDefault="00D61483" w:rsidP="00D61483">
      <w:pPr>
        <w:jc w:val="center"/>
        <w:rPr>
          <w:b/>
          <w:i/>
          <w:sz w:val="28"/>
          <w:szCs w:val="28"/>
        </w:rPr>
      </w:pPr>
    </w:p>
    <w:p w:rsidR="00D61483" w:rsidRDefault="00D61483" w:rsidP="00D61483">
      <w:pPr>
        <w:pStyle w:val="FR1"/>
        <w:tabs>
          <w:tab w:val="left" w:pos="1440"/>
        </w:tabs>
        <w:suppressAutoHyphens/>
        <w:spacing w:line="240" w:lineRule="auto"/>
        <w:ind w:firstLine="0"/>
        <w:jc w:val="both"/>
        <w:rPr>
          <w:b/>
          <w:szCs w:val="28"/>
        </w:rPr>
      </w:pPr>
    </w:p>
    <w:p w:rsidR="00D61483" w:rsidRDefault="00D61483" w:rsidP="00D61483">
      <w:pPr>
        <w:pStyle w:val="FR1"/>
        <w:tabs>
          <w:tab w:val="left" w:pos="1440"/>
        </w:tabs>
        <w:suppressAutoHyphens/>
        <w:spacing w:line="240" w:lineRule="auto"/>
        <w:ind w:firstLine="0"/>
        <w:jc w:val="both"/>
        <w:rPr>
          <w:b/>
          <w:szCs w:val="28"/>
        </w:rPr>
      </w:pPr>
      <w:r>
        <w:rPr>
          <w:b/>
          <w:szCs w:val="28"/>
        </w:rPr>
        <w:t xml:space="preserve">Заступник міського голови – </w:t>
      </w:r>
    </w:p>
    <w:p w:rsidR="00B65E9B" w:rsidRDefault="00D61483" w:rsidP="00D61483">
      <w:pPr>
        <w:pStyle w:val="FR1"/>
        <w:tabs>
          <w:tab w:val="left" w:pos="1440"/>
        </w:tabs>
        <w:suppressAutoHyphens/>
        <w:spacing w:line="240" w:lineRule="auto"/>
        <w:ind w:firstLine="0"/>
        <w:jc w:val="both"/>
        <w:rPr>
          <w:b/>
          <w:szCs w:val="28"/>
        </w:rPr>
      </w:pPr>
      <w:r>
        <w:rPr>
          <w:b/>
          <w:szCs w:val="28"/>
        </w:rPr>
        <w:t>начальник фінансового управління</w:t>
      </w:r>
    </w:p>
    <w:p w:rsidR="00B65E9B" w:rsidRDefault="00B65E9B" w:rsidP="00D61483">
      <w:pPr>
        <w:pStyle w:val="FR1"/>
        <w:tabs>
          <w:tab w:val="left" w:pos="1440"/>
        </w:tabs>
        <w:suppressAutoHyphens/>
        <w:spacing w:line="240" w:lineRule="auto"/>
        <w:ind w:firstLine="0"/>
        <w:jc w:val="both"/>
        <w:rPr>
          <w:b/>
          <w:szCs w:val="28"/>
        </w:rPr>
      </w:pPr>
      <w:r>
        <w:rPr>
          <w:b/>
          <w:szCs w:val="28"/>
        </w:rPr>
        <w:t xml:space="preserve">виконавчого комітету </w:t>
      </w:r>
    </w:p>
    <w:p w:rsidR="00D61483" w:rsidRDefault="00B65E9B" w:rsidP="00B65E9B">
      <w:pPr>
        <w:pStyle w:val="FR1"/>
        <w:tabs>
          <w:tab w:val="left" w:pos="1440"/>
          <w:tab w:val="left" w:pos="7088"/>
        </w:tabs>
        <w:suppressAutoHyphens/>
        <w:spacing w:line="240" w:lineRule="auto"/>
        <w:ind w:firstLine="0"/>
        <w:jc w:val="both"/>
        <w:rPr>
          <w:b/>
          <w:szCs w:val="28"/>
        </w:rPr>
      </w:pPr>
      <w:r>
        <w:rPr>
          <w:b/>
          <w:szCs w:val="28"/>
        </w:rPr>
        <w:t>Кременчуцької міської ради</w:t>
      </w:r>
      <w:r w:rsidR="00D61483">
        <w:rPr>
          <w:b/>
          <w:szCs w:val="28"/>
        </w:rPr>
        <w:t xml:space="preserve">                                             </w:t>
      </w:r>
      <w:r>
        <w:rPr>
          <w:b/>
          <w:szCs w:val="28"/>
        </w:rPr>
        <w:t xml:space="preserve">    Т.</w:t>
      </w:r>
      <w:r w:rsidR="00D61483">
        <w:rPr>
          <w:b/>
          <w:szCs w:val="28"/>
        </w:rPr>
        <w:t>Г. Н</w:t>
      </w:r>
      <w:r>
        <w:rPr>
          <w:b/>
          <w:szCs w:val="28"/>
        </w:rPr>
        <w:t>ЕІЛЕНКО</w:t>
      </w:r>
    </w:p>
    <w:p w:rsidR="00C83399" w:rsidRDefault="00C83399" w:rsidP="00D61483">
      <w:pPr>
        <w:overflowPunct w:val="0"/>
        <w:autoSpaceDE w:val="0"/>
        <w:autoSpaceDN w:val="0"/>
        <w:adjustRightInd w:val="0"/>
        <w:jc w:val="center"/>
        <w:textAlignment w:val="baseline"/>
      </w:pPr>
    </w:p>
    <w:sectPr w:rsidR="00C83399" w:rsidSect="003F2621">
      <w:footerReference w:type="default" r:id="rId12"/>
      <w:pgSz w:w="11906" w:h="16838"/>
      <w:pgMar w:top="568" w:right="566" w:bottom="568" w:left="1701"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A4" w:rsidRDefault="00DC37A4" w:rsidP="003F2621">
      <w:r>
        <w:separator/>
      </w:r>
    </w:p>
  </w:endnote>
  <w:endnote w:type="continuationSeparator" w:id="0">
    <w:p w:rsidR="00DC37A4" w:rsidRDefault="00DC37A4" w:rsidP="003F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33932"/>
      <w:docPartObj>
        <w:docPartGallery w:val="Page Numbers (Bottom of Page)"/>
        <w:docPartUnique/>
      </w:docPartObj>
    </w:sdtPr>
    <w:sdtEndPr/>
    <w:sdtContent>
      <w:p w:rsidR="003F2621" w:rsidRDefault="003F2621">
        <w:pPr>
          <w:pStyle w:val="ab"/>
          <w:jc w:val="right"/>
        </w:pPr>
        <w:r>
          <w:fldChar w:fldCharType="begin"/>
        </w:r>
        <w:r>
          <w:instrText>PAGE   \* MERGEFORMAT</w:instrText>
        </w:r>
        <w:r>
          <w:fldChar w:fldCharType="separate"/>
        </w:r>
        <w:r w:rsidR="00AE228C" w:rsidRPr="00AE228C">
          <w:rPr>
            <w:noProof/>
            <w:lang w:val="ru-RU"/>
          </w:rPr>
          <w:t>15</w:t>
        </w:r>
        <w:r>
          <w:fldChar w:fldCharType="end"/>
        </w:r>
      </w:p>
    </w:sdtContent>
  </w:sdt>
  <w:p w:rsidR="003F2621" w:rsidRDefault="003F26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A4" w:rsidRDefault="00DC37A4" w:rsidP="003F2621">
      <w:r>
        <w:separator/>
      </w:r>
    </w:p>
  </w:footnote>
  <w:footnote w:type="continuationSeparator" w:id="0">
    <w:p w:rsidR="00DC37A4" w:rsidRDefault="00DC37A4" w:rsidP="003F2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A64F2"/>
    <w:multiLevelType w:val="hybridMultilevel"/>
    <w:tmpl w:val="A52AE0D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47D735BB"/>
    <w:multiLevelType w:val="hybridMultilevel"/>
    <w:tmpl w:val="4B9029E2"/>
    <w:lvl w:ilvl="0" w:tplc="7D1E7170">
      <w:start w:val="48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73"/>
    <w:rsid w:val="0008537F"/>
    <w:rsid w:val="0018163B"/>
    <w:rsid w:val="002717C6"/>
    <w:rsid w:val="002B3312"/>
    <w:rsid w:val="003F2621"/>
    <w:rsid w:val="00440073"/>
    <w:rsid w:val="006833B9"/>
    <w:rsid w:val="006B3701"/>
    <w:rsid w:val="006B3F39"/>
    <w:rsid w:val="006F5C55"/>
    <w:rsid w:val="00704FF8"/>
    <w:rsid w:val="00765E50"/>
    <w:rsid w:val="00A0081A"/>
    <w:rsid w:val="00AE228C"/>
    <w:rsid w:val="00B65E9B"/>
    <w:rsid w:val="00C83399"/>
    <w:rsid w:val="00D61483"/>
    <w:rsid w:val="00DC37A4"/>
    <w:rsid w:val="00F22E21"/>
    <w:rsid w:val="00F5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63B"/>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8163B"/>
    <w:pPr>
      <w:keepNext/>
      <w:jc w:val="center"/>
      <w:outlineLvl w:val="0"/>
    </w:pPr>
    <w:rPr>
      <w:rFonts w:ascii="Bookman Old Style" w:hAnsi="Bookman Old Style"/>
      <w:b/>
      <w:bCs/>
      <w:iCs/>
      <w:color w:val="0000FF"/>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163B"/>
    <w:rPr>
      <w:rFonts w:ascii="Bookman Old Style" w:eastAsia="Times New Roman" w:hAnsi="Bookman Old Style" w:cs="Times New Roman"/>
      <w:b/>
      <w:bCs/>
      <w:iCs/>
      <w:color w:val="0000FF"/>
      <w:sz w:val="26"/>
      <w:szCs w:val="28"/>
      <w:lang w:val="uk-UA" w:eastAsia="ru-RU"/>
    </w:rPr>
  </w:style>
  <w:style w:type="paragraph" w:styleId="a3">
    <w:name w:val="Title"/>
    <w:basedOn w:val="a"/>
    <w:link w:val="a4"/>
    <w:qFormat/>
    <w:rsid w:val="0018163B"/>
    <w:pPr>
      <w:jc w:val="center"/>
    </w:pPr>
    <w:rPr>
      <w:b/>
      <w:bCs/>
      <w:sz w:val="28"/>
    </w:rPr>
  </w:style>
  <w:style w:type="character" w:customStyle="1" w:styleId="a4">
    <w:name w:val="Название Знак"/>
    <w:basedOn w:val="a0"/>
    <w:link w:val="a3"/>
    <w:rsid w:val="0018163B"/>
    <w:rPr>
      <w:rFonts w:ascii="Times New Roman" w:eastAsia="Times New Roman" w:hAnsi="Times New Roman" w:cs="Times New Roman"/>
      <w:b/>
      <w:bCs/>
      <w:sz w:val="28"/>
      <w:szCs w:val="24"/>
      <w:lang w:val="uk-UA" w:eastAsia="ru-RU"/>
    </w:rPr>
  </w:style>
  <w:style w:type="paragraph" w:styleId="a5">
    <w:name w:val="List Paragraph"/>
    <w:basedOn w:val="a"/>
    <w:uiPriority w:val="34"/>
    <w:qFormat/>
    <w:rsid w:val="0018163B"/>
    <w:pPr>
      <w:ind w:left="720"/>
      <w:contextualSpacing/>
    </w:pPr>
  </w:style>
  <w:style w:type="paragraph" w:styleId="a6">
    <w:name w:val="Balloon Text"/>
    <w:basedOn w:val="a"/>
    <w:link w:val="a7"/>
    <w:uiPriority w:val="99"/>
    <w:semiHidden/>
    <w:unhideWhenUsed/>
    <w:rsid w:val="0018163B"/>
    <w:rPr>
      <w:rFonts w:ascii="Tahoma" w:hAnsi="Tahoma" w:cs="Tahoma"/>
      <w:sz w:val="16"/>
      <w:szCs w:val="16"/>
    </w:rPr>
  </w:style>
  <w:style w:type="character" w:customStyle="1" w:styleId="a7">
    <w:name w:val="Текст выноски Знак"/>
    <w:basedOn w:val="a0"/>
    <w:link w:val="a6"/>
    <w:uiPriority w:val="99"/>
    <w:semiHidden/>
    <w:rsid w:val="0018163B"/>
    <w:rPr>
      <w:rFonts w:ascii="Tahoma" w:eastAsia="Times New Roman" w:hAnsi="Tahoma" w:cs="Tahoma"/>
      <w:sz w:val="16"/>
      <w:szCs w:val="16"/>
      <w:lang w:val="uk-UA" w:eastAsia="ru-RU"/>
    </w:rPr>
  </w:style>
  <w:style w:type="paragraph" w:customStyle="1" w:styleId="FR1">
    <w:name w:val="FR1"/>
    <w:rsid w:val="00D61483"/>
    <w:pPr>
      <w:widowControl w:val="0"/>
      <w:spacing w:after="0" w:line="259" w:lineRule="auto"/>
      <w:ind w:firstLine="680"/>
    </w:pPr>
    <w:rPr>
      <w:rFonts w:ascii="Times New Roman" w:eastAsia="Times New Roman" w:hAnsi="Times New Roman" w:cs="Times New Roman"/>
      <w:sz w:val="28"/>
      <w:szCs w:val="20"/>
      <w:lang w:val="uk-UA" w:eastAsia="ru-RU"/>
    </w:rPr>
  </w:style>
  <w:style w:type="table" w:styleId="a8">
    <w:name w:val="Table Grid"/>
    <w:basedOn w:val="a1"/>
    <w:uiPriority w:val="59"/>
    <w:rsid w:val="00D6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F2621"/>
    <w:pPr>
      <w:tabs>
        <w:tab w:val="center" w:pos="4677"/>
        <w:tab w:val="right" w:pos="9355"/>
      </w:tabs>
    </w:pPr>
  </w:style>
  <w:style w:type="character" w:customStyle="1" w:styleId="aa">
    <w:name w:val="Верхний колонтитул Знак"/>
    <w:basedOn w:val="a0"/>
    <w:link w:val="a9"/>
    <w:uiPriority w:val="99"/>
    <w:rsid w:val="003F2621"/>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3F2621"/>
    <w:pPr>
      <w:tabs>
        <w:tab w:val="center" w:pos="4677"/>
        <w:tab w:val="right" w:pos="9355"/>
      </w:tabs>
    </w:pPr>
  </w:style>
  <w:style w:type="character" w:customStyle="1" w:styleId="ac">
    <w:name w:val="Нижний колонтитул Знак"/>
    <w:basedOn w:val="a0"/>
    <w:link w:val="ab"/>
    <w:uiPriority w:val="99"/>
    <w:rsid w:val="003F2621"/>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63B"/>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8163B"/>
    <w:pPr>
      <w:keepNext/>
      <w:jc w:val="center"/>
      <w:outlineLvl w:val="0"/>
    </w:pPr>
    <w:rPr>
      <w:rFonts w:ascii="Bookman Old Style" w:hAnsi="Bookman Old Style"/>
      <w:b/>
      <w:bCs/>
      <w:iCs/>
      <w:color w:val="0000FF"/>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163B"/>
    <w:rPr>
      <w:rFonts w:ascii="Bookman Old Style" w:eastAsia="Times New Roman" w:hAnsi="Bookman Old Style" w:cs="Times New Roman"/>
      <w:b/>
      <w:bCs/>
      <w:iCs/>
      <w:color w:val="0000FF"/>
      <w:sz w:val="26"/>
      <w:szCs w:val="28"/>
      <w:lang w:val="uk-UA" w:eastAsia="ru-RU"/>
    </w:rPr>
  </w:style>
  <w:style w:type="paragraph" w:styleId="a3">
    <w:name w:val="Title"/>
    <w:basedOn w:val="a"/>
    <w:link w:val="a4"/>
    <w:qFormat/>
    <w:rsid w:val="0018163B"/>
    <w:pPr>
      <w:jc w:val="center"/>
    </w:pPr>
    <w:rPr>
      <w:b/>
      <w:bCs/>
      <w:sz w:val="28"/>
    </w:rPr>
  </w:style>
  <w:style w:type="character" w:customStyle="1" w:styleId="a4">
    <w:name w:val="Название Знак"/>
    <w:basedOn w:val="a0"/>
    <w:link w:val="a3"/>
    <w:rsid w:val="0018163B"/>
    <w:rPr>
      <w:rFonts w:ascii="Times New Roman" w:eastAsia="Times New Roman" w:hAnsi="Times New Roman" w:cs="Times New Roman"/>
      <w:b/>
      <w:bCs/>
      <w:sz w:val="28"/>
      <w:szCs w:val="24"/>
      <w:lang w:val="uk-UA" w:eastAsia="ru-RU"/>
    </w:rPr>
  </w:style>
  <w:style w:type="paragraph" w:styleId="a5">
    <w:name w:val="List Paragraph"/>
    <w:basedOn w:val="a"/>
    <w:uiPriority w:val="34"/>
    <w:qFormat/>
    <w:rsid w:val="0018163B"/>
    <w:pPr>
      <w:ind w:left="720"/>
      <w:contextualSpacing/>
    </w:pPr>
  </w:style>
  <w:style w:type="paragraph" w:styleId="a6">
    <w:name w:val="Balloon Text"/>
    <w:basedOn w:val="a"/>
    <w:link w:val="a7"/>
    <w:uiPriority w:val="99"/>
    <w:semiHidden/>
    <w:unhideWhenUsed/>
    <w:rsid w:val="0018163B"/>
    <w:rPr>
      <w:rFonts w:ascii="Tahoma" w:hAnsi="Tahoma" w:cs="Tahoma"/>
      <w:sz w:val="16"/>
      <w:szCs w:val="16"/>
    </w:rPr>
  </w:style>
  <w:style w:type="character" w:customStyle="1" w:styleId="a7">
    <w:name w:val="Текст выноски Знак"/>
    <w:basedOn w:val="a0"/>
    <w:link w:val="a6"/>
    <w:uiPriority w:val="99"/>
    <w:semiHidden/>
    <w:rsid w:val="0018163B"/>
    <w:rPr>
      <w:rFonts w:ascii="Tahoma" w:eastAsia="Times New Roman" w:hAnsi="Tahoma" w:cs="Tahoma"/>
      <w:sz w:val="16"/>
      <w:szCs w:val="16"/>
      <w:lang w:val="uk-UA" w:eastAsia="ru-RU"/>
    </w:rPr>
  </w:style>
  <w:style w:type="paragraph" w:customStyle="1" w:styleId="FR1">
    <w:name w:val="FR1"/>
    <w:rsid w:val="00D61483"/>
    <w:pPr>
      <w:widowControl w:val="0"/>
      <w:spacing w:after="0" w:line="259" w:lineRule="auto"/>
      <w:ind w:firstLine="680"/>
    </w:pPr>
    <w:rPr>
      <w:rFonts w:ascii="Times New Roman" w:eastAsia="Times New Roman" w:hAnsi="Times New Roman" w:cs="Times New Roman"/>
      <w:sz w:val="28"/>
      <w:szCs w:val="20"/>
      <w:lang w:val="uk-UA" w:eastAsia="ru-RU"/>
    </w:rPr>
  </w:style>
  <w:style w:type="table" w:styleId="a8">
    <w:name w:val="Table Grid"/>
    <w:basedOn w:val="a1"/>
    <w:uiPriority w:val="59"/>
    <w:rsid w:val="00D6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F2621"/>
    <w:pPr>
      <w:tabs>
        <w:tab w:val="center" w:pos="4677"/>
        <w:tab w:val="right" w:pos="9355"/>
      </w:tabs>
    </w:pPr>
  </w:style>
  <w:style w:type="character" w:customStyle="1" w:styleId="aa">
    <w:name w:val="Верхний колонтитул Знак"/>
    <w:basedOn w:val="a0"/>
    <w:link w:val="a9"/>
    <w:uiPriority w:val="99"/>
    <w:rsid w:val="003F2621"/>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3F2621"/>
    <w:pPr>
      <w:tabs>
        <w:tab w:val="center" w:pos="4677"/>
        <w:tab w:val="right" w:pos="9355"/>
      </w:tabs>
    </w:pPr>
  </w:style>
  <w:style w:type="character" w:customStyle="1" w:styleId="ac">
    <w:name w:val="Нижний колонтитул Знак"/>
    <w:basedOn w:val="a0"/>
    <w:link w:val="ab"/>
    <w:uiPriority w:val="99"/>
    <w:rsid w:val="003F262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23904">
      <w:bodyDiv w:val="1"/>
      <w:marLeft w:val="0"/>
      <w:marRight w:val="0"/>
      <w:marTop w:val="0"/>
      <w:marBottom w:val="0"/>
      <w:divBdr>
        <w:top w:val="none" w:sz="0" w:space="0" w:color="auto"/>
        <w:left w:val="none" w:sz="0" w:space="0" w:color="auto"/>
        <w:bottom w:val="none" w:sz="0" w:space="0" w:color="auto"/>
        <w:right w:val="none" w:sz="0" w:space="0" w:color="auto"/>
      </w:divBdr>
    </w:div>
    <w:div w:id="12112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15</Pages>
  <Words>5239</Words>
  <Characters>29867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11</cp:revision>
  <cp:lastPrinted>2017-08-03T12:39:00Z</cp:lastPrinted>
  <dcterms:created xsi:type="dcterms:W3CDTF">2017-08-02T06:15:00Z</dcterms:created>
  <dcterms:modified xsi:type="dcterms:W3CDTF">2017-08-03T12:39:00Z</dcterms:modified>
</cp:coreProperties>
</file>