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437BD" w14:textId="5AD56575" w:rsidR="003A7BAD" w:rsidRPr="003A7BAD" w:rsidRDefault="00DA32A0" w:rsidP="004C4F8F">
      <w:pPr>
        <w:tabs>
          <w:tab w:val="left" w:pos="11199"/>
        </w:tabs>
        <w:autoSpaceDE w:val="0"/>
        <w:autoSpaceDN w:val="0"/>
        <w:spacing w:after="0" w:line="240" w:lineRule="auto"/>
        <w:ind w:left="6372" w:firstLine="4253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proofErr w:type="spellStart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Додаток</w:t>
      </w:r>
      <w:proofErr w:type="spellEnd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437B3297" w14:textId="6579FD0A" w:rsidR="003A7BAD" w:rsidRPr="003A7BAD" w:rsidRDefault="00DA32A0" w:rsidP="009315CA">
      <w:pPr>
        <w:autoSpaceDE w:val="0"/>
        <w:autoSpaceDN w:val="0"/>
        <w:spacing w:after="0" w:line="240" w:lineRule="auto"/>
        <w:ind w:left="6372" w:firstLine="4253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proofErr w:type="spellStart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рішення</w:t>
      </w:r>
      <w:proofErr w:type="spellEnd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виконавчого</w:t>
      </w:r>
      <w:proofErr w:type="spellEnd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комітету</w:t>
      </w:r>
      <w:proofErr w:type="spellEnd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850981B" w14:textId="0C24629F" w:rsidR="003A7BAD" w:rsidRPr="003A7BAD" w:rsidRDefault="00DA32A0" w:rsidP="009315CA">
      <w:pPr>
        <w:autoSpaceDE w:val="0"/>
        <w:autoSpaceDN w:val="0"/>
        <w:spacing w:after="0" w:line="240" w:lineRule="auto"/>
        <w:ind w:left="6372" w:firstLine="4253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proofErr w:type="spellStart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Кременчуцької</w:t>
      </w:r>
      <w:proofErr w:type="spellEnd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міської</w:t>
      </w:r>
      <w:proofErr w:type="spellEnd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 </w:t>
      </w:r>
    </w:p>
    <w:p w14:paraId="76E8280F" w14:textId="4CC5FB4A" w:rsidR="003A7BAD" w:rsidRPr="003A7BAD" w:rsidRDefault="00DA32A0" w:rsidP="009315CA">
      <w:pPr>
        <w:autoSpaceDE w:val="0"/>
        <w:autoSpaceDN w:val="0"/>
        <w:spacing w:after="0" w:line="240" w:lineRule="auto"/>
        <w:ind w:left="6372" w:firstLine="4253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proofErr w:type="spellStart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Кременчуцького</w:t>
      </w:r>
      <w:proofErr w:type="spellEnd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</w:p>
    <w:p w14:paraId="4355C900" w14:textId="46168B5A" w:rsidR="003A7BAD" w:rsidRPr="003A7BAD" w:rsidRDefault="00DA32A0" w:rsidP="009315CA">
      <w:pPr>
        <w:autoSpaceDE w:val="0"/>
        <w:autoSpaceDN w:val="0"/>
        <w:spacing w:after="0" w:line="240" w:lineRule="auto"/>
        <w:ind w:left="6372" w:firstLine="4253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proofErr w:type="spellStart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Полтавської</w:t>
      </w:r>
      <w:proofErr w:type="spellEnd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14:paraId="6AC6AB1D" w14:textId="77777777" w:rsidR="003A7BAD" w:rsidRPr="003A7BAD" w:rsidRDefault="003A7BAD" w:rsidP="003A7B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9F6E72" w14:textId="77777777" w:rsidR="003A7BAD" w:rsidRPr="003A7BAD" w:rsidRDefault="003A7BAD" w:rsidP="003A7B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A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заходів</w:t>
      </w:r>
    </w:p>
    <w:p w14:paraId="6F829996" w14:textId="77777777" w:rsidR="00EB73C9" w:rsidRDefault="003A7BAD" w:rsidP="003A7B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наповнення дохідної частини бюджету, економного, раціонального та ефективного використання </w:t>
      </w:r>
    </w:p>
    <w:p w14:paraId="195CEF72" w14:textId="5DA3C9D3" w:rsidR="003A7BAD" w:rsidRPr="003A7BAD" w:rsidRDefault="003A7BAD" w:rsidP="003A7B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бюджетних коштів Кременчуцької міської територіальної громади у 2026 році</w:t>
      </w:r>
    </w:p>
    <w:p w14:paraId="1D5AAEB3" w14:textId="77777777" w:rsidR="003A7BAD" w:rsidRPr="003A7BAD" w:rsidRDefault="003A7BAD" w:rsidP="003A7B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87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922"/>
        <w:gridCol w:w="3685"/>
        <w:gridCol w:w="1702"/>
      </w:tblGrid>
      <w:tr w:rsidR="001179CF" w:rsidRPr="003A7BAD" w14:paraId="2EE64715" w14:textId="77777777" w:rsidTr="00957343">
        <w:trPr>
          <w:trHeight w:val="435"/>
          <w:tblHeader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7E90F" w14:textId="3608A254" w:rsidR="008E430E" w:rsidRPr="003A7BAD" w:rsidRDefault="008E430E" w:rsidP="00ED1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№ </w:t>
            </w:r>
            <w:r w:rsidR="00ED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/п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4B9DF" w14:textId="77777777" w:rsidR="008E430E" w:rsidRPr="003A7BAD" w:rsidRDefault="008E430E" w:rsidP="0011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B5630" w14:textId="77777777" w:rsidR="008E430E" w:rsidRPr="003A7BAD" w:rsidRDefault="008E430E" w:rsidP="0011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Виконавці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62F6D" w14:textId="77777777" w:rsidR="008E430E" w:rsidRPr="003A7BAD" w:rsidRDefault="008E430E" w:rsidP="0011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Строк виконання</w:t>
            </w:r>
          </w:p>
        </w:tc>
      </w:tr>
      <w:tr w:rsidR="00F62F96" w:rsidRPr="003A7BAD" w14:paraId="44BC588A" w14:textId="77777777" w:rsidTr="008104A3">
        <w:trPr>
          <w:trHeight w:val="470"/>
          <w:tblCellSpacing w:w="0" w:type="dxa"/>
          <w:jc w:val="center"/>
        </w:trPr>
        <w:tc>
          <w:tcPr>
            <w:tcW w:w="158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D9357" w14:textId="77777777" w:rsidR="00F62F96" w:rsidRDefault="00F62F96" w:rsidP="00B01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089070" w14:textId="77777777" w:rsidR="00F62F96" w:rsidRPr="006D5917" w:rsidRDefault="00F62F96" w:rsidP="00965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75124">
              <w:rPr>
                <w:rFonts w:ascii="Times New Roman" w:hAnsi="Times New Roman" w:cs="Times New Roman"/>
                <w:b/>
                <w:sz w:val="28"/>
                <w:szCs w:val="28"/>
              </w:rPr>
              <w:t>Заходи щодо забезпечення наповнення дохідної частини бюджету, залучення додаткових джерел надходжень</w:t>
            </w:r>
          </w:p>
          <w:p w14:paraId="6B76B9A1" w14:textId="0C77956F" w:rsidR="00957343" w:rsidRPr="006D5917" w:rsidRDefault="00957343" w:rsidP="0096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</w:pPr>
          </w:p>
        </w:tc>
      </w:tr>
      <w:tr w:rsidR="001179CF" w:rsidRPr="003A7BAD" w14:paraId="6983EEA1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1CC57" w14:textId="77777777" w:rsidR="008E430E" w:rsidRPr="003A7BAD" w:rsidRDefault="008E430E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90C09" w14:textId="22347BEC" w:rsidR="008E430E" w:rsidRPr="003A7BAD" w:rsidRDefault="00531551" w:rsidP="00D60C7B">
            <w:pPr>
              <w:spacing w:after="0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="004D77DB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ктивізувати роботу стосовно посилення контролю за</w:t>
            </w:r>
            <w:r w:rsidR="00F33CA5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D77DB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сплатою податків і платежів, що зараховуються до бюджету,</w:t>
            </w:r>
            <w:r w:rsidR="00B01D56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 w:rsidR="005A5483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едопущення зростання податкового боргу та вишукання додаткових джерел надходжень до бюджету Кременчуцької</w:t>
            </w:r>
            <w:r w:rsidR="00F33CA5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1B72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 територіальної громади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FC504" w14:textId="0F11C856" w:rsidR="00531551" w:rsidRPr="003A7BAD" w:rsidRDefault="00B01D56" w:rsidP="00D6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</w:t>
            </w:r>
            <w:r w:rsidR="00531551"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ргани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</w:t>
            </w:r>
            <w:r w:rsidR="00531551"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які контролюють справляння надходжень до бюджету, згідно постанови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КМУ </w:t>
            </w:r>
            <w:r w:rsidR="00531551"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№106 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від 16 лютого 2011 р.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5EAF8" w14:textId="77777777" w:rsidR="008E430E" w:rsidRPr="003A7BAD" w:rsidRDefault="008E430E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5A5483" w:rsidRPr="003A7BAD" w14:paraId="31326C07" w14:textId="77777777" w:rsidTr="008104A3">
        <w:trPr>
          <w:trHeight w:val="2707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67BB9" w14:textId="77777777" w:rsidR="005A5483" w:rsidRPr="003A7BAD" w:rsidRDefault="005A5483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51B88" w14:textId="5282CC1F" w:rsidR="00F33CA5" w:rsidRPr="003A7BAD" w:rsidRDefault="00743494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Надавати</w:t>
            </w:r>
            <w:r w:rsidR="005A5483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ГУ ДПС у Полтавської області </w:t>
            </w:r>
            <w:r w:rsidR="00301E5B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Управлінню Державної казначейської служби України у м. </w:t>
            </w:r>
            <w:proofErr w:type="spellStart"/>
            <w:r w:rsidR="00301E5B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Кременчуці</w:t>
            </w:r>
            <w:proofErr w:type="spellEnd"/>
            <w:r w:rsidR="00301E5B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Полтавської області  </w:t>
            </w:r>
            <w:r w:rsidR="005A5483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помісячні планові показники за доходами у розрізі платежів, затверджених </w:t>
            </w:r>
            <w:r w:rsidR="00301E5B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 з внесенням змін</w:t>
            </w:r>
            <w:r w:rsidR="005A5483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A5483"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Кременчуцькою міською територіальною громадою</w:t>
            </w:r>
            <w:r w:rsidR="005A5483"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  <w:p w14:paraId="241E1A82" w14:textId="77777777" w:rsidR="005A5483" w:rsidRPr="003A7BAD" w:rsidRDefault="005A5483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BA87F" w14:textId="77777777" w:rsidR="005A5483" w:rsidRPr="003A7BAD" w:rsidRDefault="005A548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Департамент фінансів 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Кременчуцької міської територіальної громади</w:t>
            </w:r>
          </w:p>
          <w:p w14:paraId="38ABDD9D" w14:textId="77777777" w:rsidR="00531551" w:rsidRPr="003A7BAD" w:rsidRDefault="005A548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 ДПС у Полтавської області</w:t>
            </w:r>
            <w:r w:rsidR="00301E5B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</w:p>
          <w:p w14:paraId="3461A2D5" w14:textId="158E510C" w:rsidR="005A5483" w:rsidRPr="003A7BAD" w:rsidRDefault="00301E5B" w:rsidP="006D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Управління Державної казначейської служби України у м. </w:t>
            </w:r>
            <w:proofErr w:type="spellStart"/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Кременчуці</w:t>
            </w:r>
            <w:proofErr w:type="spellEnd"/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Полтавської області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6CAB6" w14:textId="77777777" w:rsidR="005A5483" w:rsidRPr="006D5917" w:rsidRDefault="005A548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року, після затвердження та внесення змін</w:t>
            </w:r>
          </w:p>
          <w:p w14:paraId="0704F9DB" w14:textId="77777777" w:rsidR="00957343" w:rsidRPr="006D5917" w:rsidRDefault="0095734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309C4DC1" w14:textId="77777777" w:rsidR="00957343" w:rsidRPr="006D5917" w:rsidRDefault="0095734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2EE86B6B" w14:textId="77777777" w:rsidR="00957343" w:rsidRPr="006D5917" w:rsidRDefault="0095734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7C34D13D" w14:textId="77777777" w:rsidR="00957343" w:rsidRPr="006D5917" w:rsidRDefault="0095734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20B09435" w14:textId="77777777" w:rsidR="00957343" w:rsidRPr="006D5917" w:rsidRDefault="0095734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70457D" w:rsidRPr="003A7BAD" w14:paraId="77E707C4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719E9" w14:textId="645956BB" w:rsidR="0070457D" w:rsidRPr="003A7BAD" w:rsidRDefault="0070457D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="00ED1ED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A09E3" w14:textId="77777777" w:rsidR="0070457D" w:rsidRPr="003A7BAD" w:rsidRDefault="0070457D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Отримання від ГУ ДПС податкової інформації у розрізі всіх платників для аналізу повноти сплати податків.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A2840" w14:textId="77777777" w:rsidR="0070457D" w:rsidRPr="003A7BAD" w:rsidRDefault="0070457D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 ДПС у Полтавської області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6F08C" w14:textId="77777777" w:rsidR="0070457D" w:rsidRPr="003A7BAD" w:rsidRDefault="0070457D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1B724C" w:rsidRPr="003A7BAD" w14:paraId="47EFA339" w14:textId="77777777" w:rsidTr="00957343">
        <w:trPr>
          <w:trHeight w:val="1639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BD2EC" w14:textId="74585F5B" w:rsidR="001B724C" w:rsidRPr="00ED1ED1" w:rsidRDefault="00ED1ED1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ED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="001D46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25C59" w14:textId="77777777" w:rsidR="001B724C" w:rsidRDefault="001B724C" w:rsidP="001B724C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Забезпечення діяльності робочих груп, комісій, створених для розгляду та вирішення питань: </w:t>
            </w:r>
          </w:p>
          <w:p w14:paraId="075CC64C" w14:textId="77777777" w:rsidR="0060456A" w:rsidRDefault="001B724C" w:rsidP="00F149B7">
            <w:pPr>
              <w:pStyle w:val="a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82" w:right="13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питань погашення </w:t>
            </w:r>
            <w:r w:rsidR="00ED1ED1" w:rsidRPr="006045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заборгованості</w:t>
            </w:r>
            <w:r w:rsidRPr="006045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із заробітної плати (грошового забезпеченн</w:t>
            </w:r>
            <w:r w:rsidR="00ED1ED1" w:rsidRPr="006045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</w:t>
            </w:r>
            <w:r w:rsidRPr="006045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  <w:r w:rsidR="00ED1ED1" w:rsidRPr="006045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,пенсій, стипендій та інших соціальних виплат</w:t>
            </w:r>
            <w:r w:rsidR="0060456A" w:rsidRPr="006045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64C2FAAD" w14:textId="115DBEAA" w:rsidR="0060456A" w:rsidRPr="0060456A" w:rsidRDefault="0060456A" w:rsidP="00F149B7">
            <w:pPr>
              <w:pStyle w:val="a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82" w:right="13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питань </w:t>
            </w:r>
            <w:r w:rsidRPr="0060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щодо </w:t>
            </w:r>
            <w:r w:rsidR="00965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заходів до </w:t>
            </w:r>
            <w:r w:rsidRPr="0060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наповнення дохідної частини  бюджету Кременчуцької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</w:t>
            </w:r>
          </w:p>
          <w:p w14:paraId="3B988214" w14:textId="77777777" w:rsidR="0060456A" w:rsidRDefault="0060456A" w:rsidP="00F149B7">
            <w:pPr>
              <w:pStyle w:val="a7"/>
              <w:spacing w:before="100" w:beforeAutospacing="1" w:after="100" w:afterAutospacing="1" w:line="240" w:lineRule="auto"/>
              <w:ind w:left="482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47779EE" w14:textId="1A73BA6B" w:rsidR="0060456A" w:rsidRPr="001B724C" w:rsidRDefault="0060456A" w:rsidP="0060456A">
            <w:pPr>
              <w:pStyle w:val="a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FAF3E" w14:textId="77777777" w:rsidR="00937D42" w:rsidRDefault="00F778C2" w:rsidP="0093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Департамент фінансів 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Кременчуцької міської </w:t>
            </w:r>
            <w:r w:rsidR="00937D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ради Кременчуцького району Полтавської області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  <w:p w14:paraId="6C4001B6" w14:textId="14F2BA10" w:rsidR="001B724C" w:rsidRPr="00937D42" w:rsidRDefault="00F778C2" w:rsidP="0093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 ДПС у Полтавської області</w:t>
            </w:r>
          </w:p>
          <w:p w14:paraId="38BCB60A" w14:textId="77777777" w:rsidR="00F778C2" w:rsidRPr="00937D42" w:rsidRDefault="00F778C2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D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Департамент економіки </w:t>
            </w:r>
            <w:r w:rsidR="00937D42" w:rsidRPr="00937D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</w:t>
            </w:r>
          </w:p>
          <w:p w14:paraId="528DBFB7" w14:textId="77777777" w:rsidR="00937D42" w:rsidRDefault="00937D42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Кременчуцького району</w:t>
            </w:r>
          </w:p>
          <w:p w14:paraId="6329D327" w14:textId="77777777" w:rsidR="00937D42" w:rsidRPr="0060456A" w:rsidRDefault="00937D42" w:rsidP="0060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Полтавської області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17FF6E31" w14:textId="19AD8B11" w:rsidR="0060456A" w:rsidRDefault="0060456A" w:rsidP="0060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Департамент соціального захисту населення Кременчуцької міської ради Кременчуцького району</w:t>
            </w:r>
          </w:p>
          <w:p w14:paraId="3D330326" w14:textId="77777777" w:rsidR="0060456A" w:rsidRDefault="0060456A" w:rsidP="0060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Полтавської області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568D9A44" w14:textId="0FC7F3F5" w:rsidR="0060456A" w:rsidRPr="0060456A" w:rsidRDefault="0060456A" w:rsidP="0060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417BF" w14:textId="77777777" w:rsidR="001B724C" w:rsidRPr="003A7BAD" w:rsidRDefault="001B724C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149B7" w:rsidRPr="003A7BAD" w14:paraId="344C3421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1F365" w14:textId="72AEC760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41C77" w14:textId="77777777" w:rsidR="00F149B7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метою збільшення надходжень до бюджету міської територіальної громади:</w:t>
            </w:r>
          </w:p>
          <w:p w14:paraId="3A47386D" w14:textId="133E625B" w:rsidR="00F149B7" w:rsidRDefault="00F149B7" w:rsidP="00FF7CE2">
            <w:pPr>
              <w:pStyle w:val="a7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82" w:right="13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виявлення суб’єктів господарювання з ознаками виплати заробітної плати «в конвертах», спільні інформаційні заходи щодо легалізації трудових відносин, моніторинг своєчасност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 перерахування ПДФО до бюджету</w:t>
            </w:r>
          </w:p>
          <w:p w14:paraId="36E5E3DB" w14:textId="7E46AF76" w:rsidR="00F149B7" w:rsidRDefault="00F149B7" w:rsidP="00FF7CE2">
            <w:pPr>
              <w:pStyle w:val="a7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82" w:right="13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інвентаризації земельних ділянок, виявлення землекористувачів без належно оформлених правовстановлюючих документів, перегляд договорів оренди земель комунальної власності щодо відповідності ставок чинному законодавству</w:t>
            </w:r>
            <w:r w:rsidR="006D59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6D59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родаж земельних ділянок та майнови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 прав на конкурентних засадах;</w:t>
            </w:r>
          </w:p>
          <w:p w14:paraId="34FA6603" w14:textId="069A4984" w:rsidR="00F149B7" w:rsidRDefault="00FF7CE2" w:rsidP="00FF7CE2">
            <w:pPr>
              <w:pStyle w:val="a7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82" w:right="13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иявлення об’єктів</w:t>
            </w:r>
            <w:r w:rsidR="00F149B7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що використовуються без оформлення документів, ак</w:t>
            </w:r>
            <w:r w:rsidR="00F149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туалізація бази даних платників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по п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одат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ку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нерухоме майно</w:t>
            </w:r>
            <w:r w:rsidR="00F149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43A436DB" w14:textId="0823450A" w:rsidR="00F149B7" w:rsidRPr="00F149B7" w:rsidRDefault="00F149B7" w:rsidP="00FF7CE2">
            <w:pPr>
              <w:pStyle w:val="a7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82" w:right="130"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F1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а</w:t>
            </w:r>
            <w:r w:rsidRPr="00F149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наліз повноти реєстрації суб’єктів підприємницької діяльності</w:t>
            </w:r>
            <w:r w:rsidR="00FF7CE2" w:rsidRPr="00F1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FF7C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 є</w:t>
            </w:r>
            <w:r w:rsidR="00FF7CE2" w:rsidRPr="00F1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дино</w:t>
            </w:r>
            <w:r w:rsidR="00FF7C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му</w:t>
            </w:r>
            <w:r w:rsidR="00FF7CE2" w:rsidRPr="00F1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податк</w:t>
            </w:r>
            <w:r w:rsidR="00FF7C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</w:t>
            </w:r>
            <w:r w:rsidRPr="00F149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виявлення фактів здійснення діяльності без державної реєстрації, проведення роз’яснювальної роботи серед підприємців щодо </w:t>
            </w:r>
            <w:r w:rsidRPr="00F149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своєчасної сплати податків;</w:t>
            </w:r>
          </w:p>
          <w:p w14:paraId="3E9CB3D4" w14:textId="60B20A37" w:rsidR="00F149B7" w:rsidRPr="00F149B7" w:rsidRDefault="00FF7CE2" w:rsidP="00FF7CE2">
            <w:pPr>
              <w:pStyle w:val="a7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82" w:right="130"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п</w:t>
            </w:r>
            <w:r w:rsidR="00F149B7" w:rsidRPr="00F149B7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ідвищення ефективності оренди та приватизації об’єктів комунальної власності</w:t>
            </w:r>
          </w:p>
          <w:p w14:paraId="32835A03" w14:textId="793AC25C" w:rsidR="00F149B7" w:rsidRPr="0060456A" w:rsidRDefault="00F149B7" w:rsidP="00F149B7">
            <w:pPr>
              <w:pStyle w:val="a7"/>
              <w:spacing w:before="100" w:beforeAutospacing="1" w:after="100" w:afterAutospacing="1" w:line="240" w:lineRule="auto"/>
              <w:ind w:left="84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AA2B1" w14:textId="77777777" w:rsidR="00F149B7" w:rsidRDefault="00F149B7" w:rsidP="0098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Департамент фінансів 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Кременчуцької міської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ради Кременчуцького району Полтавської області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1219A781" w14:textId="77777777" w:rsidR="00F149B7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 ДПС у Полтавської області</w:t>
            </w:r>
          </w:p>
          <w:p w14:paraId="7D3BC060" w14:textId="77777777" w:rsidR="00F149B7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Управління земельних ресурсів</w:t>
            </w:r>
          </w:p>
          <w:p w14:paraId="78500BC6" w14:textId="77777777" w:rsidR="00F149B7" w:rsidRPr="00937D42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D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</w:t>
            </w:r>
          </w:p>
          <w:p w14:paraId="31E09029" w14:textId="77777777" w:rsidR="00F149B7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Кременчуцького району</w:t>
            </w:r>
          </w:p>
          <w:p w14:paraId="0F0737A9" w14:textId="77777777" w:rsidR="00F149B7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Полтавської області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  <w:p w14:paraId="5FA96EED" w14:textId="77777777" w:rsidR="00F149B7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розвитку підприємництва, торгівлі, побуту та регуляторної політики</w:t>
            </w:r>
          </w:p>
          <w:p w14:paraId="0211640D" w14:textId="77777777" w:rsidR="00F149B7" w:rsidRPr="00937D42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D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</w:t>
            </w:r>
          </w:p>
          <w:p w14:paraId="70380B0E" w14:textId="77777777" w:rsidR="00F149B7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Кременчуцького району</w:t>
            </w:r>
          </w:p>
          <w:p w14:paraId="310D0B1B" w14:textId="77777777" w:rsidR="00F149B7" w:rsidRPr="003A7BAD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Полтавської області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  <w:p w14:paraId="452D4215" w14:textId="78C6333B" w:rsidR="00F149B7" w:rsidRPr="00937D42" w:rsidRDefault="006D591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F149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правління міського майна Кременчуцької міської ради</w:t>
            </w:r>
          </w:p>
          <w:p w14:paraId="744CE83B" w14:textId="77777777" w:rsidR="00F149B7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Кременчуцького району</w:t>
            </w:r>
          </w:p>
          <w:p w14:paraId="7420E35A" w14:textId="45762003" w:rsidR="00F149B7" w:rsidRPr="003A7BAD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Полтавської області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EF1BA" w14:textId="3A5C0D6C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Протягом року</w:t>
            </w:r>
          </w:p>
        </w:tc>
      </w:tr>
      <w:tr w:rsidR="00F149B7" w:rsidRPr="003A7BAD" w14:paraId="4E947B0A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89B5F" w14:textId="5E0D59D1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D6CFF" w14:textId="413B9525" w:rsidR="00F149B7" w:rsidRPr="003A7BAD" w:rsidRDefault="00F149B7" w:rsidP="00D60C7B">
            <w:pPr>
              <w:spacing w:after="0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ктуалізація ставок місцевих податків (податку на майно, єдиного податку, туристичного збору) відповідно до ринкових умов.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58DB3" w14:textId="77777777" w:rsidR="00F149B7" w:rsidRPr="00937D42" w:rsidRDefault="00F149B7" w:rsidP="001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розвитку підприємництва, торгівлі, побуту та регуляторної політики</w:t>
            </w:r>
            <w:r w:rsidRPr="00937D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виконавчого комітету</w:t>
            </w:r>
          </w:p>
          <w:p w14:paraId="0CA9DD07" w14:textId="77777777" w:rsidR="00F149B7" w:rsidRDefault="00F149B7" w:rsidP="001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Кременчуцького району</w:t>
            </w:r>
          </w:p>
          <w:p w14:paraId="6B911694" w14:textId="77777777" w:rsidR="00F149B7" w:rsidRPr="003A7BAD" w:rsidRDefault="00F149B7" w:rsidP="001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Полтавської області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  <w:p w14:paraId="381C1F15" w14:textId="77777777" w:rsidR="00F149B7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Управління земельних ресурсів</w:t>
            </w:r>
          </w:p>
          <w:p w14:paraId="29E13116" w14:textId="77777777" w:rsidR="00F149B7" w:rsidRPr="00937D42" w:rsidRDefault="00F149B7" w:rsidP="001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D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</w:t>
            </w:r>
          </w:p>
          <w:p w14:paraId="3F24E545" w14:textId="77777777" w:rsidR="00F149B7" w:rsidRDefault="00F149B7" w:rsidP="001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Кременчуцького району</w:t>
            </w:r>
          </w:p>
          <w:p w14:paraId="427B322D" w14:textId="057C5E76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Полтавської області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0C364" w14:textId="0F4098E8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149B7" w:rsidRPr="003A7BAD" w14:paraId="3B27BA1D" w14:textId="77777777" w:rsidTr="00B9295E">
        <w:trPr>
          <w:trHeight w:val="581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112D0" w14:textId="3C36AD0F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ECAE8" w14:textId="77777777" w:rsidR="00F149B7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Робота з податковим боргом: п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роведення спільних нарад з представниками територіальних органів ДПС щодо найбільших боржників, направлення листів-попереджень боржникам, ініціювання претензійно-позовної роботи у межах компетенції, публічне висвітлення інформації про стан сплати податків (з 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отриманням вимог законодавства)</w:t>
            </w:r>
          </w:p>
          <w:p w14:paraId="287B89C9" w14:textId="1899FBCF" w:rsidR="00FF7CE2" w:rsidRPr="003A7BAD" w:rsidRDefault="00FF7CE2" w:rsidP="00D60C7B">
            <w:pPr>
              <w:spacing w:before="100" w:beforeAutospacing="1" w:after="100" w:afterAutospacing="1" w:line="240" w:lineRule="auto"/>
              <w:ind w:left="124" w:right="131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F29F3" w14:textId="665DE221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ГУ ДПС у Полтавської області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90168" w14:textId="3AB8F317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F7CE2" w:rsidRPr="003A7BAD" w14:paraId="73119622" w14:textId="77777777" w:rsidTr="00957343">
        <w:trPr>
          <w:trHeight w:val="743"/>
          <w:tblCellSpacing w:w="0" w:type="dxa"/>
          <w:jc w:val="center"/>
        </w:trPr>
        <w:tc>
          <w:tcPr>
            <w:tcW w:w="158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C94EF" w14:textId="77777777" w:rsidR="00957343" w:rsidRPr="006D5917" w:rsidRDefault="00957343" w:rsidP="0096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14:paraId="7BD1EE7D" w14:textId="77777777" w:rsidR="00FF7CE2" w:rsidRPr="006D5917" w:rsidRDefault="00FF7CE2" w:rsidP="0096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r w:rsidRPr="008B0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Заходи щодо економного, раціонального та ефективного використання коштів бюджету громади</w:t>
            </w:r>
          </w:p>
          <w:p w14:paraId="1D62D1A6" w14:textId="40694D70" w:rsidR="00957343" w:rsidRPr="006D5917" w:rsidRDefault="00957343" w:rsidP="0096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F149B7" w:rsidRPr="003A7BAD" w14:paraId="3686A8E8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D567A" w14:textId="14D6CCA2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B669A" w14:textId="0F752517" w:rsidR="00F149B7" w:rsidRPr="003A7BAD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Здійснення управління бюджетними коштами в межах встановлених бюджетних повноважень із забезпеченням ефективного та раціонального використання бюджетних коштів, належної організації та координації роботи розпорядників бюджетних коштів нижчого рівня та одержувачів бюджетних коштів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FE4AA" w14:textId="1C1CACB6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415D8" w14:textId="131A954A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149B7" w:rsidRPr="003A7BAD" w14:paraId="0DE9EC46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95A14" w14:textId="492D10F8" w:rsidR="00F149B7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173E1" w14:textId="60F0CD56" w:rsidR="00F149B7" w:rsidRPr="003A7BAD" w:rsidRDefault="00F149B7" w:rsidP="00F149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Утримання чисельності працівників в межах затвердженого кошторисами фонду оплати праці. Вжиття заходів щодо упорядкування та оптимізації мережі, штатів та контингентів бюджетних закладів, що фінансуються з бюджету громади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74493" w14:textId="110254E1" w:rsidR="00F149B7" w:rsidRPr="003A7BAD" w:rsidRDefault="00F149B7" w:rsidP="0093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громади, розпорядники коштів нижчого рівня, одержувачі бюджетних коштів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E79F7" w14:textId="2035856D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149B7" w:rsidRPr="003A7BAD" w14:paraId="533C8D2E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A90EA" w14:textId="503EAD80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64989" w14:textId="1034DFC8" w:rsidR="00F149B7" w:rsidRPr="003A7BAD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Недопущення подання пропозицій та прийняття власних рішень щодо збільшення чисельності працівників підпорядкованих органів та установ (крім перерозподілу штатної чисельності в межах одного типу закладів та головного розпорядника бюджетних коштів, не допускаючи збільшення загальної чисельності)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B08D2" w14:textId="73826E89" w:rsidR="00F149B7" w:rsidRPr="003A7BAD" w:rsidRDefault="00F149B7" w:rsidP="001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громади, розпорядники коштів нижчого рівня, одержувачі бюджетних коштів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E5194" w14:textId="7EC94E0C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149B7" w:rsidRPr="003A7BAD" w14:paraId="37F64D2F" w14:textId="77777777" w:rsidTr="00957343">
        <w:trPr>
          <w:trHeight w:val="1563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105A3" w14:textId="7BC29ED6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2CB34" w14:textId="77777777" w:rsidR="00F149B7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Здійснення заходів з енергозбереження із забезпеченням зменшення витрат на оплату комунальних послуг та енергоносіїв (із визначенням показників результативності цих заходів у натуральних та вартісних показниках)</w:t>
            </w:r>
          </w:p>
          <w:p w14:paraId="23421595" w14:textId="522616B2" w:rsidR="009657D4" w:rsidRPr="003A7BAD" w:rsidRDefault="009657D4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2C707" w14:textId="10C337D4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громади, розпорядники коштів нижчого рівня, одержувачі бюджетних коштів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A1F79" w14:textId="657FBFE0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9657D4" w:rsidRPr="003A7BAD" w14:paraId="7DF2AFFC" w14:textId="77777777" w:rsidTr="00957343">
        <w:trPr>
          <w:trHeight w:val="523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40B52" w14:textId="6256601D" w:rsidR="009657D4" w:rsidRDefault="009657D4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33417" w14:textId="1A418A93" w:rsidR="009657D4" w:rsidRPr="008A130C" w:rsidRDefault="009657D4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Здійснення фінансування видатків загального фонду бюджету територіальної громади в межах фактичних надходжень доходів та міжбюджетних трансфертів у першочерговому порядку по захищених видатках із застосуванням режиму економії та з урахуванням заходів з оптимізації видатків. У разі виникнення заборгованості із виплати заробітної плати, інших соціальних виплат і оплати енергоносіїв та комунальних послуг, спрямовувати не менш 90 відсотків наявних коштів загального фонду місцевого бюджету на їх погашення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1FA8B" w14:textId="77777777" w:rsidR="009657D4" w:rsidRDefault="009657D4" w:rsidP="0096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Департамент фінансів 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Кременчуцької міської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ради Кременчуцького району Полтавської області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  <w:p w14:paraId="07720E08" w14:textId="77777777" w:rsidR="009657D4" w:rsidRPr="00485C31" w:rsidRDefault="009657D4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67DE2" w14:textId="77777777" w:rsidR="00884282" w:rsidRDefault="009657D4" w:rsidP="005E2C3B">
            <w:pPr>
              <w:spacing w:after="0" w:line="240" w:lineRule="auto"/>
              <w:ind w:left="552" w:hanging="9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Протягом </w:t>
            </w:r>
          </w:p>
          <w:p w14:paraId="3D90FACF" w14:textId="73CE89B9" w:rsidR="009657D4" w:rsidRPr="00A16990" w:rsidRDefault="009657D4" w:rsidP="005E2C3B">
            <w:pPr>
              <w:spacing w:after="0" w:line="240" w:lineRule="auto"/>
              <w:ind w:left="552" w:hanging="9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року</w:t>
            </w:r>
          </w:p>
        </w:tc>
      </w:tr>
      <w:tr w:rsidR="00F149B7" w:rsidRPr="003A7BAD" w14:paraId="5E905110" w14:textId="77777777" w:rsidTr="00957343">
        <w:trPr>
          <w:trHeight w:val="523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5C301" w14:textId="157906F9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6EBBB" w14:textId="1A9FF436" w:rsidR="00F149B7" w:rsidRPr="00A16990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Здійснення аналізу та надання пропозицій щодо беззбиткової роботи комунальних підприємств з урахуванням результатів роботи за 2025 рік та прогнозу на 2026 рік з метою зменшення обсягів фінансової підтримки за рахунок бюджетних коштів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E5434" w14:textId="1455080E" w:rsidR="00F149B7" w:rsidRPr="00485C31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11E9D" w14:textId="58F9D886" w:rsidR="00F149B7" w:rsidRPr="00A16990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149B7" w:rsidRPr="003A7BAD" w14:paraId="250A90B5" w14:textId="77777777" w:rsidTr="00957343">
        <w:trPr>
          <w:trHeight w:val="523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D9DA7" w14:textId="54D98DC9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60920" w14:textId="4AE426B0" w:rsidR="00F149B7" w:rsidRPr="008A130C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Забезпечення внутрішнього контролю за повнотою надходжень, взяття бюджетних зобов'язань розпорядниками бюджетних коштів нижчого рівня та одержувачами бюджетних коштів і витрачання ними бюджетних коштів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3F5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вжиття заход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</w:t>
            </w:r>
            <w:r w:rsidRPr="003F5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щодо недопущення виникнення кредиторської та дебіторської заборгованості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8FB52" w14:textId="60C59DD6" w:rsidR="00F149B7" w:rsidRPr="00485C31" w:rsidRDefault="00F149B7" w:rsidP="0048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E6BCE" w14:textId="2A5ED32C" w:rsidR="00F149B7" w:rsidRPr="003A7BAD" w:rsidRDefault="00F149B7" w:rsidP="0048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149B7" w:rsidRPr="003A7BAD" w14:paraId="52AED416" w14:textId="77777777" w:rsidTr="00957343">
        <w:trPr>
          <w:trHeight w:val="523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D1DDE" w14:textId="02943E00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8.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F99C6" w14:textId="08FD8B94" w:rsidR="00F149B7" w:rsidRPr="008A130C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Забезпечення </w:t>
            </w:r>
            <w:r w:rsidRPr="0088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оперативного та в повному обсязі використання трансфертів з державного бюджету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88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своєчасного спрямування коштів місцевих бюджетів у частині </w:t>
            </w:r>
            <w:proofErr w:type="spellStart"/>
            <w:r w:rsidRPr="0088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співфінансування</w:t>
            </w:r>
            <w:proofErr w:type="spellEnd"/>
            <w:r w:rsidRPr="0088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здійснення видатків, що фінансуються за рахунок субвенцій з державного бюджету або цільових трансфертів з обласного бюджету, відповідно до затверджених порядків та укладених угод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B2FBF" w14:textId="19BB8A7D" w:rsidR="00F149B7" w:rsidRPr="00485C31" w:rsidRDefault="00F149B7" w:rsidP="0048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3A506" w14:textId="3F84BBD8" w:rsidR="00F149B7" w:rsidRPr="003A7BAD" w:rsidRDefault="00F149B7" w:rsidP="0048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</w:tbl>
    <w:p w14:paraId="7EFBD0F2" w14:textId="77777777" w:rsidR="005B361B" w:rsidRDefault="005B361B" w:rsidP="005E2C3B"/>
    <w:sectPr w:rsidR="005B361B" w:rsidSect="007D2177">
      <w:pgSz w:w="16838" w:h="11906" w:orient="landscape"/>
      <w:pgMar w:top="1701" w:right="567" w:bottom="22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46758" w14:textId="77777777" w:rsidR="009F1463" w:rsidRDefault="009F1463" w:rsidP="00043B37">
      <w:pPr>
        <w:spacing w:after="0" w:line="240" w:lineRule="auto"/>
      </w:pPr>
      <w:r>
        <w:separator/>
      </w:r>
    </w:p>
  </w:endnote>
  <w:endnote w:type="continuationSeparator" w:id="0">
    <w:p w14:paraId="47AEDDCA" w14:textId="77777777" w:rsidR="009F1463" w:rsidRDefault="009F1463" w:rsidP="0004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2AF99" w14:textId="77777777" w:rsidR="009F1463" w:rsidRDefault="009F1463" w:rsidP="00043B37">
      <w:pPr>
        <w:spacing w:after="0" w:line="240" w:lineRule="auto"/>
      </w:pPr>
      <w:r>
        <w:separator/>
      </w:r>
    </w:p>
  </w:footnote>
  <w:footnote w:type="continuationSeparator" w:id="0">
    <w:p w14:paraId="6F2ED835" w14:textId="77777777" w:rsidR="009F1463" w:rsidRDefault="009F1463" w:rsidP="00043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BB3"/>
    <w:multiLevelType w:val="hybridMultilevel"/>
    <w:tmpl w:val="3FF27AFC"/>
    <w:lvl w:ilvl="0" w:tplc="0422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 w15:restartNumberingAfterBreak="0">
    <w:nsid w:val="0B9D32A4"/>
    <w:multiLevelType w:val="multilevel"/>
    <w:tmpl w:val="FB7C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4116D"/>
    <w:multiLevelType w:val="multilevel"/>
    <w:tmpl w:val="7EA2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62D8C"/>
    <w:multiLevelType w:val="hybridMultilevel"/>
    <w:tmpl w:val="3ADC7C00"/>
    <w:lvl w:ilvl="0" w:tplc="0422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4" w15:restartNumberingAfterBreak="0">
    <w:nsid w:val="39232D67"/>
    <w:multiLevelType w:val="multilevel"/>
    <w:tmpl w:val="E43C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B234E"/>
    <w:multiLevelType w:val="multilevel"/>
    <w:tmpl w:val="3520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26CB4"/>
    <w:multiLevelType w:val="multilevel"/>
    <w:tmpl w:val="16E4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227A9"/>
    <w:multiLevelType w:val="multilevel"/>
    <w:tmpl w:val="872A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B2F46"/>
    <w:multiLevelType w:val="multilevel"/>
    <w:tmpl w:val="BD2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1CE6"/>
    <w:multiLevelType w:val="multilevel"/>
    <w:tmpl w:val="C75C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0E"/>
    <w:rsid w:val="00022600"/>
    <w:rsid w:val="00043B37"/>
    <w:rsid w:val="000E2FFF"/>
    <w:rsid w:val="001179CF"/>
    <w:rsid w:val="001B4AC6"/>
    <w:rsid w:val="001B724C"/>
    <w:rsid w:val="001D46FE"/>
    <w:rsid w:val="00201CD2"/>
    <w:rsid w:val="00241C14"/>
    <w:rsid w:val="00280A60"/>
    <w:rsid w:val="002C52A8"/>
    <w:rsid w:val="002D1A9C"/>
    <w:rsid w:val="002E0F8E"/>
    <w:rsid w:val="00301E5B"/>
    <w:rsid w:val="0033309B"/>
    <w:rsid w:val="00373632"/>
    <w:rsid w:val="003A7BAD"/>
    <w:rsid w:val="003F5C93"/>
    <w:rsid w:val="0048051F"/>
    <w:rsid w:val="00485C31"/>
    <w:rsid w:val="004B0FF7"/>
    <w:rsid w:val="004C4F8F"/>
    <w:rsid w:val="004D77DB"/>
    <w:rsid w:val="00502911"/>
    <w:rsid w:val="00504F93"/>
    <w:rsid w:val="00531551"/>
    <w:rsid w:val="005845CF"/>
    <w:rsid w:val="005A5483"/>
    <w:rsid w:val="005B361B"/>
    <w:rsid w:val="005E2C3B"/>
    <w:rsid w:val="0060456A"/>
    <w:rsid w:val="0065589B"/>
    <w:rsid w:val="006D5917"/>
    <w:rsid w:val="0070457D"/>
    <w:rsid w:val="00743494"/>
    <w:rsid w:val="00765548"/>
    <w:rsid w:val="007B30C6"/>
    <w:rsid w:val="007C615A"/>
    <w:rsid w:val="007D2177"/>
    <w:rsid w:val="008104A3"/>
    <w:rsid w:val="008325F3"/>
    <w:rsid w:val="00884282"/>
    <w:rsid w:val="00887BF1"/>
    <w:rsid w:val="008A130C"/>
    <w:rsid w:val="008B081E"/>
    <w:rsid w:val="008B3D13"/>
    <w:rsid w:val="008D016A"/>
    <w:rsid w:val="008E03A6"/>
    <w:rsid w:val="008E430E"/>
    <w:rsid w:val="009315CA"/>
    <w:rsid w:val="00937D42"/>
    <w:rsid w:val="00957343"/>
    <w:rsid w:val="009657D4"/>
    <w:rsid w:val="009F1463"/>
    <w:rsid w:val="00A015F6"/>
    <w:rsid w:val="00A16990"/>
    <w:rsid w:val="00A23EEA"/>
    <w:rsid w:val="00A71ED1"/>
    <w:rsid w:val="00B01D56"/>
    <w:rsid w:val="00B22C13"/>
    <w:rsid w:val="00B9295E"/>
    <w:rsid w:val="00CC5C53"/>
    <w:rsid w:val="00CF09C1"/>
    <w:rsid w:val="00D44A9A"/>
    <w:rsid w:val="00D60C7B"/>
    <w:rsid w:val="00DA30DE"/>
    <w:rsid w:val="00DA32A0"/>
    <w:rsid w:val="00DD5B1C"/>
    <w:rsid w:val="00E553AB"/>
    <w:rsid w:val="00E8106C"/>
    <w:rsid w:val="00EB73C9"/>
    <w:rsid w:val="00ED1ED1"/>
    <w:rsid w:val="00F149B7"/>
    <w:rsid w:val="00F33CA5"/>
    <w:rsid w:val="00F62F96"/>
    <w:rsid w:val="00F778C2"/>
    <w:rsid w:val="00F93643"/>
    <w:rsid w:val="00F94589"/>
    <w:rsid w:val="00FC7D8F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7FCB"/>
  <w15:docId w15:val="{4F2586BB-5199-434D-A527-11DA0390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E43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1D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724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4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43B37"/>
  </w:style>
  <w:style w:type="paragraph" w:styleId="aa">
    <w:name w:val="footer"/>
    <w:basedOn w:val="a"/>
    <w:link w:val="ab"/>
    <w:uiPriority w:val="99"/>
    <w:unhideWhenUsed/>
    <w:rsid w:val="0004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4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4872</Words>
  <Characters>2778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Dohod1</dc:creator>
  <cp:lastModifiedBy>Budget5ok</cp:lastModifiedBy>
  <cp:revision>33</cp:revision>
  <cp:lastPrinted>2026-03-04T11:27:00Z</cp:lastPrinted>
  <dcterms:created xsi:type="dcterms:W3CDTF">2026-02-26T08:55:00Z</dcterms:created>
  <dcterms:modified xsi:type="dcterms:W3CDTF">2026-03-04T11:34:00Z</dcterms:modified>
</cp:coreProperties>
</file>