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B57B1A" w:rsidRPr="00420125" w:rsidRDefault="00B57B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FA4FF4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0526AC">
        <w:rPr>
          <w:color w:val="000000"/>
        </w:rPr>
        <w:t xml:space="preserve">12 липня 2024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B568C5">
        <w:rPr>
          <w:color w:val="000000"/>
        </w:rPr>
        <w:t>1</w:t>
      </w:r>
      <w:r w:rsidR="000526AC">
        <w:rPr>
          <w:color w:val="000000"/>
        </w:rPr>
        <w:t>75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 w:rsidRPr="00B57B1A">
        <w:t>1</w:t>
      </w:r>
      <w:r w:rsidR="000526AC">
        <w:t xml:space="preserve">9 липня                  </w:t>
      </w:r>
      <w:r w:rsidR="008E1B8A" w:rsidRPr="00B57B1A">
        <w:t xml:space="preserve"> </w:t>
      </w:r>
      <w:r w:rsidRPr="00B57B1A">
        <w:t>202</w:t>
      </w:r>
      <w:r w:rsidR="000526AC">
        <w:t>4</w:t>
      </w:r>
      <w:r w:rsidRPr="00B57B1A">
        <w:t xml:space="preserve"> року </w:t>
      </w:r>
      <w:r>
        <w:rPr>
          <w:color w:val="000000"/>
        </w:rPr>
        <w:t xml:space="preserve">«Про </w:t>
      </w:r>
      <w:r w:rsidR="00C712BC">
        <w:rPr>
          <w:color w:val="000000"/>
        </w:rPr>
        <w:t xml:space="preserve">внесення змін до відомостей про комунальне підприємство «Інститут розвитку Кременчука» </w:t>
      </w:r>
      <w:r w:rsidR="000526AC">
        <w:rPr>
          <w:rFonts w:eastAsia="Times New Roman"/>
        </w:rPr>
        <w:t xml:space="preserve"> Кременчуцької міської </w:t>
      </w:r>
      <w:r w:rsidR="00C712BC">
        <w:rPr>
          <w:rFonts w:eastAsia="Times New Roman"/>
        </w:rPr>
        <w:t>ради Кременчуцького району Полтавської області»</w:t>
      </w:r>
      <w:r w:rsidR="00B568C5">
        <w:rPr>
          <w:rFonts w:eastAsia="Times New Roman"/>
        </w:rPr>
        <w:t xml:space="preserve"> </w:t>
      </w:r>
      <w:r w:rsidR="00A57F8D">
        <w:rPr>
          <w:rFonts w:eastAsia="Times New Roman"/>
        </w:rPr>
        <w:t xml:space="preserve">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 8</w:t>
      </w:r>
      <w:r w:rsidR="000526AC">
        <w:t xml:space="preserve">0 </w:t>
      </w:r>
      <w:r w:rsidR="00B568C5">
        <w:t>00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A57F8D">
        <w:t>93</w:t>
      </w:r>
      <w:r w:rsidR="00815514" w:rsidRPr="00291E4B">
        <w:t xml:space="preserve"> «</w:t>
      </w:r>
      <w:r w:rsidR="00A57F8D">
        <w:t>Інші заходи, пов’язані з економічною діяльністю</w:t>
      </w:r>
      <w:r w:rsidR="005B3169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0526AC">
        <w:t xml:space="preserve">збільшення статутного капіталу підприємства.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AF5D16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719B7">
        <w:rPr>
          <w:color w:val="000000"/>
        </w:rPr>
        <w:t xml:space="preserve"> </w:t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D83312">
        <w:rPr>
          <w:color w:val="000000"/>
        </w:rPr>
        <w:t>внести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C712BC" w:rsidRDefault="00C712BC" w:rsidP="004C2A44">
      <w:pPr>
        <w:tabs>
          <w:tab w:val="left" w:pos="567"/>
        </w:tabs>
        <w:jc w:val="both"/>
        <w:rPr>
          <w:color w:val="000000"/>
        </w:rPr>
      </w:pPr>
      <w:bookmarkStart w:id="0" w:name="_GoBack"/>
      <w:bookmarkEnd w:id="0"/>
    </w:p>
    <w:p w:rsidR="00537915" w:rsidRPr="00DD0441" w:rsidRDefault="002C633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6F5" w:rsidRDefault="008E16F5">
      <w:r>
        <w:separator/>
      </w:r>
    </w:p>
  </w:endnote>
  <w:endnote w:type="continuationSeparator" w:id="0">
    <w:p w:rsidR="008E16F5" w:rsidRDefault="008E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86C7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86C7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6F5" w:rsidRDefault="008E16F5">
      <w:r>
        <w:separator/>
      </w:r>
    </w:p>
  </w:footnote>
  <w:footnote w:type="continuationSeparator" w:id="0">
    <w:p w:rsidR="008E16F5" w:rsidRDefault="008E1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6CE9"/>
    <w:rsid w:val="0006152E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86C75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2024-07-29T07:56:00Z</cp:lastPrinted>
  <dcterms:created xsi:type="dcterms:W3CDTF">2024-07-29T07:43:00Z</dcterms:created>
  <dcterms:modified xsi:type="dcterms:W3CDTF">2024-07-29T07:57:00Z</dcterms:modified>
</cp:coreProperties>
</file>