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52B876" w14:textId="77777777" w:rsidR="005034C4" w:rsidRDefault="005034C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57B929B" w14:textId="77777777" w:rsidR="005034C4" w:rsidRDefault="005034C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70CEAF45" w:rsidR="00A82AD9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31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р.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3453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5125630" w14:textId="77777777" w:rsidR="00543D74" w:rsidRPr="00CE7CAC" w:rsidRDefault="00543D74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0AD6578" w14:textId="03937059" w:rsidR="00A82AD9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B813AD1" w14:textId="77777777" w:rsidR="00543D74" w:rsidRPr="00CE7CAC" w:rsidRDefault="00543D74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7D22E742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492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645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чо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т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риста 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8556C4" w:rsidRPr="008556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>я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>носто дві тисячі шістсот сорок п</w:t>
      </w:r>
      <w:r w:rsidR="005034C4" w:rsidRPr="005034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5034C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034C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68DB" w:rsidRPr="00AE68DB">
        <w:rPr>
          <w:rFonts w:ascii="Times New Roman" w:eastAsia="Calibri" w:hAnsi="Times New Roman" w:cs="Times New Roman"/>
          <w:color w:val="000000"/>
          <w:sz w:val="28"/>
          <w:szCs w:val="28"/>
        </w:rPr>
        <w:t>«Внески до статутного капіталу суб’єктів господарювання»</w:t>
      </w:r>
      <w:r w:rsidR="00AE68DB" w:rsidRPr="00AE68DB">
        <w:rPr>
          <w:rFonts w:ascii="Calibri" w:eastAsia="Calibri" w:hAnsi="Calibri" w:cs="Times New Roman"/>
          <w:color w:val="000000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</w:t>
      </w:r>
      <w:r w:rsidR="005034C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пластикових </w:t>
      </w:r>
      <w:proofErr w:type="spellStart"/>
      <w:r w:rsidR="005034C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ємностей</w:t>
      </w:r>
      <w:proofErr w:type="spellEnd"/>
      <w:r w:rsidR="005034C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транспортування питної води.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E0287" w14:textId="77777777" w:rsidR="00881547" w:rsidRDefault="00881547" w:rsidP="0011706C">
      <w:pPr>
        <w:spacing w:after="0" w:line="240" w:lineRule="auto"/>
      </w:pPr>
      <w:r>
        <w:separator/>
      </w:r>
    </w:p>
  </w:endnote>
  <w:endnote w:type="continuationSeparator" w:id="0">
    <w:p w14:paraId="405EF18B" w14:textId="77777777" w:rsidR="00881547" w:rsidRDefault="0088154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67A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67A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32A8C" w14:textId="77777777" w:rsidR="00881547" w:rsidRDefault="00881547" w:rsidP="0011706C">
      <w:pPr>
        <w:spacing w:after="0" w:line="240" w:lineRule="auto"/>
      </w:pPr>
      <w:r>
        <w:separator/>
      </w:r>
    </w:p>
  </w:footnote>
  <w:footnote w:type="continuationSeparator" w:id="0">
    <w:p w14:paraId="6037ED7D" w14:textId="77777777" w:rsidR="00881547" w:rsidRDefault="0088154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45B03"/>
    <w:rsid w:val="00161FC3"/>
    <w:rsid w:val="00165FD6"/>
    <w:rsid w:val="001767A3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2079"/>
    <w:rsid w:val="003D40C9"/>
    <w:rsid w:val="003E02C1"/>
    <w:rsid w:val="00414B80"/>
    <w:rsid w:val="00435A97"/>
    <w:rsid w:val="004444B1"/>
    <w:rsid w:val="004553F5"/>
    <w:rsid w:val="00477893"/>
    <w:rsid w:val="004A32EA"/>
    <w:rsid w:val="004C5224"/>
    <w:rsid w:val="004E426A"/>
    <w:rsid w:val="005034C4"/>
    <w:rsid w:val="00514398"/>
    <w:rsid w:val="00543D74"/>
    <w:rsid w:val="00564BCB"/>
    <w:rsid w:val="005B49EE"/>
    <w:rsid w:val="005D27B9"/>
    <w:rsid w:val="005D33D0"/>
    <w:rsid w:val="005E5BF8"/>
    <w:rsid w:val="005F0F53"/>
    <w:rsid w:val="00623AB4"/>
    <w:rsid w:val="0062771F"/>
    <w:rsid w:val="00637A01"/>
    <w:rsid w:val="00651885"/>
    <w:rsid w:val="00684390"/>
    <w:rsid w:val="006B114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22948"/>
    <w:rsid w:val="008556C4"/>
    <w:rsid w:val="00881547"/>
    <w:rsid w:val="008846B5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C5461"/>
    <w:rsid w:val="009D2167"/>
    <w:rsid w:val="009F4E6B"/>
    <w:rsid w:val="00A82AD9"/>
    <w:rsid w:val="00A93E8B"/>
    <w:rsid w:val="00AB284F"/>
    <w:rsid w:val="00AC0244"/>
    <w:rsid w:val="00AE68DB"/>
    <w:rsid w:val="00AF2CF5"/>
    <w:rsid w:val="00B04743"/>
    <w:rsid w:val="00B26C92"/>
    <w:rsid w:val="00B56EDF"/>
    <w:rsid w:val="00B72E5A"/>
    <w:rsid w:val="00B81906"/>
    <w:rsid w:val="00BC1BBC"/>
    <w:rsid w:val="00BC2D82"/>
    <w:rsid w:val="00BC4AC7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16DC9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837B7"/>
    <w:rsid w:val="00ED4A41"/>
    <w:rsid w:val="00ED7643"/>
    <w:rsid w:val="00F21B57"/>
    <w:rsid w:val="00F7060B"/>
    <w:rsid w:val="00F85190"/>
    <w:rsid w:val="00FC1915"/>
    <w:rsid w:val="00FE5361"/>
    <w:rsid w:val="00FF1837"/>
    <w:rsid w:val="00FF59F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A09D-E15E-423D-8482-9AB5B561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2022-09-21T13:33:00Z</cp:lastPrinted>
  <dcterms:created xsi:type="dcterms:W3CDTF">2022-09-21T05:38:00Z</dcterms:created>
  <dcterms:modified xsi:type="dcterms:W3CDTF">2022-09-21T13:33:00Z</dcterms:modified>
</cp:coreProperties>
</file>