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56EE81D0" w:rsidR="00150DB2" w:rsidRPr="00A1260D" w:rsidRDefault="00A1260D" w:rsidP="006B10AB">
      <w:pPr>
        <w:pStyle w:val="21"/>
        <w:tabs>
          <w:tab w:val="left" w:pos="0"/>
        </w:tabs>
        <w:rPr>
          <w:szCs w:val="28"/>
        </w:rPr>
      </w:pPr>
      <w:r>
        <w:t>26.02.2026</w:t>
      </w:r>
      <w:r w:rsidR="00BE081D" w:rsidRPr="00A1260D">
        <w:t xml:space="preserve">                                                                                                       № </w:t>
      </w:r>
      <w:r>
        <w:t>598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6C6C5748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8B648C" w:rsidRPr="008B648C">
        <w:rPr>
          <w:szCs w:val="28"/>
        </w:rPr>
        <w:t>19</w:t>
      </w:r>
      <w:r w:rsidR="00423926" w:rsidRPr="008B648C">
        <w:rPr>
          <w:szCs w:val="28"/>
        </w:rPr>
        <w:t>.</w:t>
      </w:r>
      <w:r w:rsidR="00421071" w:rsidRPr="008B648C">
        <w:rPr>
          <w:szCs w:val="28"/>
        </w:rPr>
        <w:t>01</w:t>
      </w:r>
      <w:r w:rsidRPr="008B648C">
        <w:rPr>
          <w:szCs w:val="28"/>
        </w:rPr>
        <w:t>.202</w:t>
      </w:r>
      <w:r w:rsidR="008C6448" w:rsidRPr="008B648C">
        <w:rPr>
          <w:szCs w:val="28"/>
        </w:rPr>
        <w:t>6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 xml:space="preserve">керуючись </w:t>
      </w:r>
      <w:proofErr w:type="spellStart"/>
      <w:r w:rsidRPr="00032F93">
        <w:rPr>
          <w:szCs w:val="28"/>
        </w:rPr>
        <w:t>ст.ст</w:t>
      </w:r>
      <w:proofErr w:type="spellEnd"/>
      <w:r w:rsidRPr="00032F93">
        <w:rPr>
          <w:szCs w:val="28"/>
        </w:rPr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24C7BE53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8B648C">
        <w:rPr>
          <w:szCs w:val="28"/>
        </w:rPr>
        <w:t>(власник –</w:t>
      </w:r>
      <w:r w:rsidR="008B648C" w:rsidRPr="008B648C">
        <w:rPr>
          <w:szCs w:val="28"/>
        </w:rPr>
        <w:t xml:space="preserve"> фізична особа – підприємець</w:t>
      </w:r>
      <w:r w:rsidR="00D04CA9" w:rsidRPr="008B648C">
        <w:rPr>
          <w:szCs w:val="28"/>
        </w:rPr>
        <w:t xml:space="preserve"> </w:t>
      </w:r>
      <w:proofErr w:type="spellStart"/>
      <w:r w:rsidR="008C6448" w:rsidRPr="008B648C">
        <w:rPr>
          <w:szCs w:val="28"/>
        </w:rPr>
        <w:t>Буренкова</w:t>
      </w:r>
      <w:proofErr w:type="spellEnd"/>
      <w:r w:rsidR="008C6448" w:rsidRPr="008B648C">
        <w:rPr>
          <w:szCs w:val="28"/>
        </w:rPr>
        <w:t xml:space="preserve"> К.С.</w:t>
      </w:r>
      <w:r w:rsidR="00D04CA9" w:rsidRPr="008B648C">
        <w:rPr>
          <w:szCs w:val="28"/>
        </w:rPr>
        <w:t>)</w:t>
      </w:r>
      <w:r w:rsidRPr="008B648C">
        <w:rPr>
          <w:szCs w:val="28"/>
        </w:rPr>
        <w:t xml:space="preserve">, </w:t>
      </w:r>
      <w:r w:rsidR="00952B7F" w:rsidRPr="008B648C">
        <w:rPr>
          <w:szCs w:val="28"/>
        </w:rPr>
        <w:t xml:space="preserve">розміщеного без дозвільних </w:t>
      </w:r>
      <w:r w:rsidR="00952B7F">
        <w:rPr>
          <w:szCs w:val="28"/>
        </w:rPr>
        <w:t xml:space="preserve">документів, за </w:t>
      </w:r>
      <w:proofErr w:type="spellStart"/>
      <w:r w:rsidR="00952B7F">
        <w:rPr>
          <w:szCs w:val="28"/>
        </w:rPr>
        <w:t>адресою</w:t>
      </w:r>
      <w:proofErr w:type="spellEnd"/>
      <w:r w:rsidR="00952B7F">
        <w:rPr>
          <w:szCs w:val="28"/>
        </w:rPr>
        <w:t xml:space="preserve">: </w:t>
      </w:r>
      <w:r w:rsidR="00952B7F" w:rsidRPr="007359BC">
        <w:rPr>
          <w:szCs w:val="28"/>
        </w:rPr>
        <w:t>проспект Свободи</w:t>
      </w:r>
      <w:r w:rsidR="008C6448">
        <w:rPr>
          <w:szCs w:val="28"/>
        </w:rPr>
        <w:t>,</w:t>
      </w:r>
      <w:r w:rsidR="00952B7F" w:rsidRPr="007359BC">
        <w:rPr>
          <w:szCs w:val="28"/>
        </w:rPr>
        <w:t xml:space="preserve"> </w:t>
      </w:r>
      <w:r w:rsidR="008C6448">
        <w:rPr>
          <w:szCs w:val="28"/>
        </w:rPr>
        <w:t>на зупинці транспорту «Міський сад»</w:t>
      </w:r>
      <w:r w:rsidR="00952B7F" w:rsidRPr="007359BC">
        <w:rPr>
          <w:szCs w:val="28"/>
        </w:rPr>
        <w:t>, в м. </w:t>
      </w:r>
      <w:proofErr w:type="spellStart"/>
      <w:r w:rsidR="00952B7F" w:rsidRPr="007359BC">
        <w:rPr>
          <w:szCs w:val="28"/>
        </w:rPr>
        <w:t>Кременчуці</w:t>
      </w:r>
      <w:proofErr w:type="spellEnd"/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B648C"/>
    <w:rsid w:val="008C3A1A"/>
    <w:rsid w:val="008C6448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60D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303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19</cp:revision>
  <cp:lastPrinted>2026-01-16T06:37:00Z</cp:lastPrinted>
  <dcterms:created xsi:type="dcterms:W3CDTF">2024-10-09T06:55:00Z</dcterms:created>
  <dcterms:modified xsi:type="dcterms:W3CDTF">2026-02-27T06:22:00Z</dcterms:modified>
</cp:coreProperties>
</file>