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3A201D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9EEC064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7579D96" w14:textId="5C50D3C7" w:rsidR="00D47272" w:rsidRPr="00B3297F" w:rsidRDefault="00B3297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06.11.2025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2823</w:t>
      </w:r>
      <w:bookmarkStart w:id="0" w:name="_GoBack"/>
      <w:bookmarkEnd w:id="0"/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D47272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E14FBCB" w14:textId="77777777" w:rsidR="00F804CC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3745547E" w14:textId="77777777" w:rsid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79C726CF" w14:textId="77777777" w:rsidR="00D47272" w:rsidRP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560C5A95" w14:textId="55C869F2" w:rsidR="00F804CC" w:rsidRPr="00D47272" w:rsidRDefault="00EE7F14" w:rsidP="00D47272">
      <w:pPr>
        <w:tabs>
          <w:tab w:val="left" w:pos="567"/>
        </w:tabs>
        <w:jc w:val="both"/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4E3071">
        <w:rPr>
          <w:bCs/>
          <w:color w:val="000000"/>
        </w:rPr>
        <w:t>27</w:t>
      </w:r>
      <w:r w:rsidR="00993E2A" w:rsidRPr="00993E2A">
        <w:rPr>
          <w:bCs/>
          <w:color w:val="000000"/>
        </w:rPr>
        <w:t>.</w:t>
      </w:r>
      <w:r w:rsidR="004E3071">
        <w:rPr>
          <w:bCs/>
          <w:color w:val="000000"/>
        </w:rPr>
        <w:t>10</w:t>
      </w:r>
      <w:r w:rsidR="00993E2A" w:rsidRPr="00993E2A">
        <w:rPr>
          <w:bCs/>
          <w:color w:val="000000"/>
        </w:rPr>
        <w:t>.2025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4E3071">
        <w:rPr>
          <w:bCs/>
          <w:color w:val="000000"/>
        </w:rPr>
        <w:t>1145</w:t>
      </w:r>
      <w:r w:rsidR="00932B1A">
        <w:t xml:space="preserve">, </w:t>
      </w:r>
      <w:r w:rsidR="00932B1A" w:rsidRPr="00583BBD">
        <w:t>керуючись рішенням</w:t>
      </w:r>
      <w:r w:rsidR="003501B7" w:rsidRPr="00583BBD">
        <w:t>и</w:t>
      </w:r>
      <w:r w:rsidR="00D72DFB" w:rsidRPr="00583BBD">
        <w:t xml:space="preserve"> Кременчуцької міської ради Кременчуцького району Полтавської області </w:t>
      </w:r>
      <w:r w:rsidR="003501B7" w:rsidRPr="00583BBD">
        <w:t xml:space="preserve">від </w:t>
      </w:r>
      <w:r w:rsidR="00583BBD" w:rsidRPr="00583BBD">
        <w:t>16 травня 2025 року «Про внесення змін до рішення Кременчуцької міської ради Кременчуцького району Полтавської області від 31 січня 2025 року «Про затвердження міської цільової програми «Діти Кременчука» на 2021-2025 роки у новій редакції»</w:t>
      </w:r>
      <w:r w:rsidR="003501B7" w:rsidRPr="00583BBD">
        <w:rPr>
          <w:bCs/>
        </w:rPr>
        <w:t xml:space="preserve"> та </w:t>
      </w:r>
      <w:r w:rsidR="00D72DFB" w:rsidRPr="00583BBD">
        <w:t xml:space="preserve">від </w:t>
      </w:r>
      <w:r w:rsidR="00583BBD" w:rsidRPr="00583BBD">
        <w:br/>
      </w:r>
      <w:r w:rsidR="00D72DFB" w:rsidRPr="00583BBD"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9F52E9">
        <w:br/>
      </w:r>
      <w:proofErr w:type="spellStart"/>
      <w:r w:rsidR="00D72DFB" w:rsidRPr="00583BBD">
        <w:t>ст.ст</w:t>
      </w:r>
      <w:proofErr w:type="spellEnd"/>
      <w:r w:rsidR="00D72DFB" w:rsidRPr="00583BBD"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2FBFD0B" w14:textId="17488FFC" w:rsidR="00F804CC" w:rsidRPr="00105760" w:rsidRDefault="002A5DEB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9673422" w14:textId="6C00FC1E" w:rsidR="004E3071" w:rsidRPr="004E3071" w:rsidRDefault="002A5DEB" w:rsidP="00D47272">
      <w:pPr>
        <w:ind w:firstLine="567"/>
        <w:jc w:val="both"/>
        <w:rPr>
          <w:rFonts w:eastAsia="Times New Roman"/>
        </w:rPr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735C1">
        <w:t>121 190</w:t>
      </w:r>
      <w:r w:rsidR="004E3071">
        <w:t xml:space="preserve"> грн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4E3071" w:rsidRPr="004E3071">
        <w:rPr>
          <w:rFonts w:eastAsia="Times New Roman"/>
          <w:bCs/>
        </w:rPr>
        <w:t xml:space="preserve">по КПКВКМБ 0913112 «Заходи державної політики з питань дітей та їх соціального захисту» для </w:t>
      </w:r>
      <w:r w:rsidR="004E3071" w:rsidRPr="004E3071">
        <w:rPr>
          <w:rFonts w:eastAsia="Times New Roman"/>
        </w:rPr>
        <w:t xml:space="preserve">придбання подарунків для дітей з прийомних сімей, дітей з сімей загиблих в зоні проведення АТО або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</w:t>
      </w:r>
      <w:r w:rsidR="004E3071" w:rsidRPr="004E3071">
        <w:rPr>
          <w:rFonts w:eastAsia="Times New Roman"/>
          <w:color w:val="000000"/>
        </w:rPr>
        <w:t xml:space="preserve">України віком до 18 років (якщо діти навчаються за денною формою навчання у закладах загальної середньої, професійної (професійно-технічної), фахової </w:t>
      </w:r>
      <w:proofErr w:type="spellStart"/>
      <w:r w:rsidR="004E3071" w:rsidRPr="004E3071">
        <w:rPr>
          <w:rFonts w:eastAsia="Times New Roman"/>
          <w:color w:val="000000"/>
        </w:rPr>
        <w:t>передвищої</w:t>
      </w:r>
      <w:proofErr w:type="spellEnd"/>
      <w:r w:rsidR="004E3071" w:rsidRPr="004E3071">
        <w:rPr>
          <w:rFonts w:eastAsia="Times New Roman"/>
          <w:color w:val="000000"/>
        </w:rPr>
        <w:t xml:space="preserve"> та вищої освіти, – до закінчення такими дітьми закладів освіти, але не довше ніж до досягнення ними 23 років), а також </w:t>
      </w:r>
      <w:r w:rsidR="004E3071" w:rsidRPr="004E3071">
        <w:rPr>
          <w:rFonts w:eastAsia="Times New Roman"/>
        </w:rPr>
        <w:t>придбання подарунків для привітання вихова</w:t>
      </w:r>
      <w:r w:rsidR="004E3071">
        <w:rPr>
          <w:rFonts w:eastAsia="Times New Roman"/>
        </w:rPr>
        <w:t>нців соціальних закладів міста</w:t>
      </w:r>
      <w:r w:rsidR="00D47272">
        <w:rPr>
          <w:rFonts w:eastAsia="Times New Roman"/>
        </w:rPr>
        <w:t xml:space="preserve"> по роботі з дітьми</w:t>
      </w:r>
      <w:r w:rsidR="004E3071">
        <w:rPr>
          <w:rFonts w:eastAsia="Times New Roman"/>
        </w:rPr>
        <w:t xml:space="preserve">: </w:t>
      </w:r>
      <w:r w:rsidR="004E3071" w:rsidRPr="004E3071">
        <w:rPr>
          <w:rFonts w:eastAsia="Times New Roman"/>
        </w:rPr>
        <w:t xml:space="preserve">Центру соціально-психологічної реабілітації дітей Кременчуцької міської ради Кременчуцького району Полтавської області, комунального підприємства «Кременчуцький обласний спеціалізований будинок дитини Полтавської обласної ради», державної установи «Кременчуцька </w:t>
      </w:r>
      <w:r w:rsidR="004E3071" w:rsidRPr="004E3071">
        <w:rPr>
          <w:rFonts w:eastAsia="Times New Roman"/>
        </w:rPr>
        <w:lastRenderedPageBreak/>
        <w:t xml:space="preserve">виховна колонія», Кременчуцького міського Центру комплексної реабілітації дітей з інвалідністю Департаменту соціального захисту населення Кременчуцької міської ради Кременчуцького району Полтавської області, Кременчуцької спеціальної школи Полтавської обласної ради. </w:t>
      </w:r>
    </w:p>
    <w:p w14:paraId="223E4654" w14:textId="70A9CFB1" w:rsidR="002A5DEB" w:rsidRPr="00105760" w:rsidRDefault="00D47272" w:rsidP="004B5D40">
      <w:pPr>
        <w:tabs>
          <w:tab w:val="left" w:pos="567"/>
        </w:tabs>
        <w:jc w:val="both"/>
      </w:pPr>
      <w:r>
        <w:tab/>
      </w:r>
      <w:r w:rsidR="000323CB">
        <w:rPr>
          <w:color w:val="000000"/>
        </w:rPr>
        <w:t>2</w:t>
      </w:r>
      <w:r w:rsidR="001E4A4B"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740B89D1" w:rsidR="00011D17" w:rsidRDefault="002A5DEB" w:rsidP="001E4A4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323CB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 xml:space="preserve">згідно з </w:t>
      </w:r>
      <w:r w:rsidR="007A15A8">
        <w:rPr>
          <w:color w:val="000000"/>
        </w:rPr>
        <w:t>наданими рахунками та договорами.</w:t>
      </w:r>
    </w:p>
    <w:p w14:paraId="4B891469" w14:textId="67431675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323CB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7E4ECDFB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0323CB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9B918" w14:textId="77777777" w:rsidR="00EE1264" w:rsidRDefault="00EE1264">
      <w:r>
        <w:separator/>
      </w:r>
    </w:p>
  </w:endnote>
  <w:endnote w:type="continuationSeparator" w:id="0">
    <w:p w14:paraId="1F68FB1F" w14:textId="77777777" w:rsidR="00EE1264" w:rsidRDefault="00EE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3297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3297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068DB" w14:textId="77777777" w:rsidR="00EE1264" w:rsidRDefault="00EE1264">
      <w:r>
        <w:separator/>
      </w:r>
    </w:p>
  </w:footnote>
  <w:footnote w:type="continuationSeparator" w:id="0">
    <w:p w14:paraId="7D3E03EC" w14:textId="77777777" w:rsidR="00EE1264" w:rsidRDefault="00EE1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23CB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A4B"/>
    <w:rsid w:val="001E6B30"/>
    <w:rsid w:val="001F1FA5"/>
    <w:rsid w:val="001F2E80"/>
    <w:rsid w:val="001F385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16A4"/>
    <w:rsid w:val="00253F8F"/>
    <w:rsid w:val="0025574A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4AC"/>
    <w:rsid w:val="002C750F"/>
    <w:rsid w:val="002E311B"/>
    <w:rsid w:val="002E4181"/>
    <w:rsid w:val="002E4968"/>
    <w:rsid w:val="002E5069"/>
    <w:rsid w:val="002E531B"/>
    <w:rsid w:val="002E540D"/>
    <w:rsid w:val="002F0013"/>
    <w:rsid w:val="002F31EF"/>
    <w:rsid w:val="002F3701"/>
    <w:rsid w:val="002F614B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0C56"/>
    <w:rsid w:val="00342F3D"/>
    <w:rsid w:val="003501B7"/>
    <w:rsid w:val="00351F8D"/>
    <w:rsid w:val="00352907"/>
    <w:rsid w:val="00352B2B"/>
    <w:rsid w:val="00353AB4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626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0B81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3071"/>
    <w:rsid w:val="004E4CED"/>
    <w:rsid w:val="004E6385"/>
    <w:rsid w:val="004E654A"/>
    <w:rsid w:val="00505576"/>
    <w:rsid w:val="00510602"/>
    <w:rsid w:val="0051203B"/>
    <w:rsid w:val="00514A7D"/>
    <w:rsid w:val="0052017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5C1"/>
    <w:rsid w:val="00573E30"/>
    <w:rsid w:val="00574DDA"/>
    <w:rsid w:val="00575BE1"/>
    <w:rsid w:val="00576DE6"/>
    <w:rsid w:val="00583BBD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5060"/>
    <w:rsid w:val="006C6069"/>
    <w:rsid w:val="006D0CA8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56406"/>
    <w:rsid w:val="007639AD"/>
    <w:rsid w:val="00765AEF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15A8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75738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53C8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D6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2E9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490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07B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59A7"/>
    <w:rsid w:val="00B16730"/>
    <w:rsid w:val="00B21021"/>
    <w:rsid w:val="00B26685"/>
    <w:rsid w:val="00B3014C"/>
    <w:rsid w:val="00B32624"/>
    <w:rsid w:val="00B3297F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337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47272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54F9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3D26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126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0195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2025-07-02T06:04:00Z</cp:lastPrinted>
  <dcterms:created xsi:type="dcterms:W3CDTF">2025-11-04T15:16:00Z</dcterms:created>
  <dcterms:modified xsi:type="dcterms:W3CDTF">2025-11-07T07:01:00Z</dcterms:modified>
</cp:coreProperties>
</file>