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75624D3" w14:textId="3B42AB5E" w:rsidR="002A0A27" w:rsidRDefault="00710058" w:rsidP="00710058">
            <w:pPr>
              <w:tabs>
                <w:tab w:val="left" w:pos="7650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10.04.2025</w:t>
            </w:r>
            <w:r w:rsidR="005C79BB"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 w:rsidR="006E37B9">
              <w:rPr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ab/>
              <w:t>№ 826</w:t>
            </w: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EB76822" w14:textId="77777777" w:rsidR="00822641" w:rsidRDefault="00451D45" w:rsidP="00316F2E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>Про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включення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Переліку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першого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</w:p>
          <w:p w14:paraId="4D22A0B7" w14:textId="77777777" w:rsidR="00CF5784" w:rsidRDefault="00822641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та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аукціону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передачу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в оренду </w:t>
            </w:r>
          </w:p>
          <w:p w14:paraId="447C6772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нежитлового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приміщення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D0442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належ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b/>
                <w:color w:val="000000"/>
                <w:sz w:val="28"/>
                <w:szCs w:val="28"/>
              </w:rPr>
              <w:t>ть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до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73994785" w14:textId="64092988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2A22C1">
              <w:rPr>
                <w:b/>
                <w:color w:val="000000"/>
                <w:sz w:val="28"/>
                <w:szCs w:val="28"/>
              </w:rPr>
              <w:t>комунальної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A22C1">
              <w:rPr>
                <w:b/>
                <w:color w:val="000000"/>
                <w:sz w:val="28"/>
                <w:szCs w:val="28"/>
              </w:rPr>
              <w:t>власності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</w:p>
          <w:p w14:paraId="5A59A19E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та затвердження умов </w:t>
            </w:r>
          </w:p>
          <w:p w14:paraId="3B99FE3E" w14:textId="77777777" w:rsidR="00063740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оренди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0CA301FB" w14:textId="77777777" w:rsidR="00780450" w:rsidRDefault="00DA2013" w:rsidP="00780450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1</w:t>
      </w:r>
      <w:r w:rsidR="00744C16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 5, частиною 1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</w:t>
      </w:r>
      <w:r w:rsidR="00491029">
        <w:rPr>
          <w:rFonts w:ascii="Times New Roman" w:hAnsi="Times New Roman"/>
          <w:b w:val="0"/>
          <w:color w:val="000000"/>
          <w:sz w:val="28"/>
          <w:szCs w:val="28"/>
        </w:rPr>
        <w:t xml:space="preserve"> 12 Закону</w:t>
      </w:r>
      <w:r w:rsidR="00491029" w:rsidRPr="00C33BC9">
        <w:rPr>
          <w:rFonts w:ascii="Times New Roman" w:hAnsi="Times New Roman"/>
          <w:b w:val="0"/>
          <w:color w:val="000000"/>
          <w:sz w:val="28"/>
          <w:szCs w:val="28"/>
        </w:rPr>
        <w:t xml:space="preserve"> України «Про оренду державного та комунального майна»,</w:t>
      </w:r>
      <w:r w:rsidR="00491029">
        <w:rPr>
          <w:sz w:val="28"/>
          <w:szCs w:val="28"/>
        </w:rPr>
        <w:t xml:space="preserve"> </w:t>
      </w:r>
      <w:r w:rsidR="00491029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</w:t>
      </w:r>
      <w:r w:rsidR="00780450" w:rsidRPr="00F85ECB">
        <w:rPr>
          <w:rFonts w:ascii="Times New Roman" w:hAnsi="Times New Roman"/>
          <w:b w:val="0"/>
          <w:sz w:val="28"/>
          <w:szCs w:val="28"/>
        </w:rPr>
        <w:t>Закону України «Про місцеве самоврядування в Україні», Поряд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>ком</w:t>
      </w:r>
      <w:r w:rsidR="00780450" w:rsidRPr="00C33BC9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</w:t>
      </w:r>
      <w:r w:rsidR="00780450">
        <w:rPr>
          <w:rFonts w:ascii="Times New Roman" w:hAnsi="Times New Roman"/>
          <w:b w:val="0"/>
          <w:sz w:val="28"/>
          <w:szCs w:val="28"/>
        </w:rPr>
        <w:t xml:space="preserve">, затвердженим постановою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Кабінету Міністрів України від 3 червня 2020 року № 483, постановою Кабінету Міністрів України від 27 травня 2022 року № 634 «Про особливості оренди державного та комунального майна у період воєнного стану»,  </w:t>
      </w:r>
      <w:r w:rsidR="00780450" w:rsidRPr="002527C7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Кременчуцької міської ради Полтавської області від 12 грудня 2000 року «Про визначення виконкому Кременчуцької міської ради меж щодо управління майном</w:t>
      </w:r>
      <w:r w:rsidR="00780450" w:rsidRPr="005A61EE">
        <w:rPr>
          <w:rFonts w:ascii="Times New Roman" w:hAnsi="Times New Roman"/>
          <w:b w:val="0"/>
          <w:sz w:val="28"/>
          <w:szCs w:val="28"/>
        </w:rPr>
        <w:t xml:space="preserve"> та щодо відчуження окремих видів майна, яке перебуває на балансі комунальних підприємств, установ, організацій та відноситься до комунальної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sz w:val="28"/>
          <w:szCs w:val="28"/>
        </w:rPr>
        <w:t>власності міста Кременчука»,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виконавчий комітет Кременчуцької міської ради 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 xml:space="preserve">Кременчуцького району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77777777" w:rsidR="003D2B1B" w:rsidRDefault="0079494F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3D2B1B">
        <w:rPr>
          <w:b/>
          <w:color w:val="000000"/>
          <w:sz w:val="28"/>
          <w:szCs w:val="28"/>
          <w:lang w:val="uk-UA"/>
        </w:rPr>
        <w:t>вирішив</w:t>
      </w:r>
      <w:r w:rsidR="003D2B1B" w:rsidRPr="0099432E">
        <w:rPr>
          <w:b/>
          <w:color w:val="000000"/>
          <w:sz w:val="28"/>
          <w:szCs w:val="28"/>
          <w:lang w:val="uk-UA"/>
        </w:rPr>
        <w:t>:</w:t>
      </w: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412779C3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 xml:space="preserve">Включити до Переліку першого типу </w:t>
      </w:r>
      <w:r>
        <w:rPr>
          <w:sz w:val="28"/>
          <w:szCs w:val="28"/>
          <w:lang w:val="uk-UA"/>
        </w:rPr>
        <w:t>нежитлов</w:t>
      </w:r>
      <w:r w:rsidR="00822641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 xml:space="preserve">приміщення, </w:t>
      </w:r>
      <w:r w:rsidR="00FD0442">
        <w:rPr>
          <w:sz w:val="28"/>
          <w:szCs w:val="28"/>
          <w:lang w:val="uk-UA"/>
        </w:rPr>
        <w:t>що</w:t>
      </w:r>
      <w:r w:rsidR="00744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розташоване за адресою: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5C3D72">
        <w:rPr>
          <w:sz w:val="28"/>
          <w:szCs w:val="28"/>
          <w:lang w:val="uk-UA"/>
        </w:rPr>
        <w:t>просп</w:t>
      </w:r>
      <w:r w:rsidR="00715C81">
        <w:rPr>
          <w:sz w:val="28"/>
          <w:szCs w:val="28"/>
          <w:lang w:val="uk-UA"/>
        </w:rPr>
        <w:t>ект Лесі Українки (проспект 50-річчя Жовтня)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>инок 80</w:t>
      </w:r>
      <w:r w:rsidR="00CB403F">
        <w:rPr>
          <w:sz w:val="28"/>
          <w:szCs w:val="28"/>
          <w:lang w:val="uk-UA"/>
        </w:rPr>
        <w:t xml:space="preserve">, площею                          9,9  кв.м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>комунального некомерційного</w:t>
      </w:r>
      <w:r w:rsidR="00E04126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77777777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нежитлового приміщення,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7CE2F9D6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6A4790">
        <w:rPr>
          <w:sz w:val="28"/>
          <w:szCs w:val="28"/>
          <w:lang w:val="uk-UA"/>
        </w:rPr>
        <w:t xml:space="preserve">нежитлового приміщення згідно з додатком. </w:t>
      </w:r>
    </w:p>
    <w:p w14:paraId="25F6BDDD" w14:textId="77777777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6A4790">
        <w:rPr>
          <w:sz w:val="28"/>
          <w:szCs w:val="28"/>
          <w:lang w:val="uk-UA"/>
        </w:rPr>
        <w:t xml:space="preserve">нежитлового приміщення може </w:t>
      </w:r>
      <w:r w:rsidR="006A4790" w:rsidRPr="00265FFB">
        <w:rPr>
          <w:sz w:val="28"/>
          <w:szCs w:val="28"/>
          <w:lang w:val="uk-UA"/>
        </w:rPr>
        <w:t xml:space="preserve">уточнюватися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77777777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44D028BA" w14:textId="77777777" w:rsidR="006A4790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77777777" w:rsidR="006A4790" w:rsidRPr="00711CF7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Пелипенка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>Полтавської області Щербіну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6722D7B8" w14:textId="11EDBEE8" w:rsidR="002D59E1" w:rsidRDefault="00F74BC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FD7628">
        <w:rPr>
          <w:b/>
          <w:sz w:val="28"/>
          <w:szCs w:val="28"/>
          <w:lang w:val="uk-UA"/>
        </w:rPr>
        <w:t>іськ</w:t>
      </w:r>
      <w:r w:rsidR="00FC5CB1">
        <w:rPr>
          <w:b/>
          <w:sz w:val="28"/>
          <w:szCs w:val="28"/>
          <w:lang w:val="uk-UA"/>
        </w:rPr>
        <w:t xml:space="preserve">ий </w:t>
      </w:r>
      <w:r w:rsidR="00FD7628">
        <w:rPr>
          <w:b/>
          <w:sz w:val="28"/>
          <w:szCs w:val="28"/>
          <w:lang w:val="uk-UA"/>
        </w:rPr>
        <w:t>голов</w:t>
      </w:r>
      <w:r w:rsidR="00FC5CB1">
        <w:rPr>
          <w:b/>
          <w:sz w:val="28"/>
          <w:szCs w:val="28"/>
          <w:lang w:val="uk-UA"/>
        </w:rPr>
        <w:t>а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ab/>
      </w:r>
      <w:r w:rsidR="005074DE">
        <w:rPr>
          <w:b/>
          <w:sz w:val="28"/>
          <w:szCs w:val="28"/>
          <w:lang w:val="uk-UA"/>
        </w:rPr>
        <w:t xml:space="preserve">  </w:t>
      </w:r>
      <w:r w:rsidR="00FD7715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>Віталій МАЛЕЦЬКИЙ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B8DE054" w14:textId="77777777" w:rsidR="00274933" w:rsidRDefault="00274933" w:rsidP="00937502">
      <w:pPr>
        <w:jc w:val="both"/>
        <w:rPr>
          <w:b/>
          <w:sz w:val="28"/>
          <w:szCs w:val="28"/>
          <w:lang w:val="uk-UA"/>
        </w:rPr>
      </w:pPr>
    </w:p>
    <w:p w14:paraId="0CE3E6C3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E187E37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2CAEC060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716E5C9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547A31BA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6ED28103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1CAC4521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27388AA3" w14:textId="37DB8813" w:rsidR="00212070" w:rsidRDefault="00212070" w:rsidP="00937502">
      <w:pPr>
        <w:jc w:val="both"/>
        <w:rPr>
          <w:b/>
          <w:sz w:val="28"/>
          <w:szCs w:val="28"/>
          <w:lang w:val="uk-UA"/>
        </w:rPr>
      </w:pPr>
    </w:p>
    <w:p w14:paraId="7C001C63" w14:textId="77777777" w:rsidR="00FD7628" w:rsidRDefault="00FD7628" w:rsidP="00937502">
      <w:pPr>
        <w:jc w:val="both"/>
        <w:rPr>
          <w:b/>
          <w:sz w:val="28"/>
          <w:szCs w:val="28"/>
          <w:lang w:val="uk-UA"/>
        </w:rPr>
      </w:pPr>
    </w:p>
    <w:p w14:paraId="3F2B4F5B" w14:textId="07FD2EE5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6FCABAF" w14:textId="77777777" w:rsidR="009F6C9D" w:rsidRDefault="009F6C9D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Умови оренди</w:t>
      </w:r>
    </w:p>
    <w:p w14:paraId="6434D9EF" w14:textId="77777777" w:rsidR="009466B4" w:rsidRDefault="009466B4" w:rsidP="009466B4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нежитлов</w:t>
      </w:r>
      <w:r w:rsidR="006A4790">
        <w:rPr>
          <w:b/>
          <w:sz w:val="28"/>
          <w:szCs w:val="28"/>
          <w:lang w:val="uk-UA"/>
        </w:rPr>
        <w:t>ого</w:t>
      </w:r>
      <w:r>
        <w:rPr>
          <w:b/>
          <w:sz w:val="28"/>
          <w:szCs w:val="28"/>
          <w:lang w:val="uk-UA"/>
        </w:rPr>
        <w:t xml:space="preserve"> приміщен</w:t>
      </w:r>
      <w:r w:rsidR="006A4790">
        <w:rPr>
          <w:b/>
          <w:sz w:val="28"/>
          <w:szCs w:val="28"/>
          <w:lang w:val="uk-UA"/>
        </w:rPr>
        <w:t>ня</w:t>
      </w:r>
      <w:r>
        <w:rPr>
          <w:b/>
          <w:sz w:val="28"/>
          <w:szCs w:val="28"/>
          <w:lang w:val="uk-UA"/>
        </w:rPr>
        <w:t xml:space="preserve">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770F10F7" w:rsidR="009466B4" w:rsidRPr="0078126A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E04126">
        <w:rPr>
          <w:sz w:val="28"/>
          <w:szCs w:val="28"/>
          <w:lang w:val="uk-UA"/>
        </w:rPr>
        <w:t>- 2</w:t>
      </w:r>
      <w:r w:rsidRPr="0078126A">
        <w:rPr>
          <w:sz w:val="28"/>
          <w:szCs w:val="28"/>
          <w:lang w:val="uk-UA"/>
        </w:rPr>
        <w:t xml:space="preserve"> (</w:t>
      </w:r>
      <w:r w:rsidR="00E04126">
        <w:rPr>
          <w:sz w:val="28"/>
          <w:szCs w:val="28"/>
          <w:lang w:val="uk-UA"/>
        </w:rPr>
        <w:t>два</w:t>
      </w:r>
      <w:r w:rsidRPr="0078126A">
        <w:rPr>
          <w:sz w:val="28"/>
          <w:szCs w:val="28"/>
          <w:lang w:val="uk-UA"/>
        </w:rPr>
        <w:t>) р</w:t>
      </w:r>
      <w:r w:rsidR="00E04126">
        <w:rPr>
          <w:sz w:val="28"/>
          <w:szCs w:val="28"/>
          <w:lang w:val="uk-UA"/>
        </w:rPr>
        <w:t>оки</w:t>
      </w:r>
      <w:r w:rsidR="0078126A" w:rsidRPr="0078126A">
        <w:rPr>
          <w:sz w:val="28"/>
          <w:szCs w:val="28"/>
          <w:lang w:val="uk-UA"/>
        </w:rPr>
        <w:t xml:space="preserve">. </w:t>
      </w:r>
    </w:p>
    <w:p w14:paraId="2BD316F0" w14:textId="142CABD2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Використовувати об’єкт </w:t>
      </w:r>
      <w:r w:rsidR="008C3491">
        <w:rPr>
          <w:sz w:val="28"/>
          <w:szCs w:val="28"/>
          <w:lang w:val="uk-UA"/>
        </w:rPr>
        <w:t xml:space="preserve">для </w:t>
      </w:r>
      <w:r w:rsidR="00905F8B">
        <w:rPr>
          <w:sz w:val="28"/>
          <w:szCs w:val="28"/>
          <w:lang w:val="uk-UA"/>
        </w:rPr>
        <w:t>розміщення буфету</w:t>
      </w:r>
      <w:r>
        <w:rPr>
          <w:sz w:val="28"/>
          <w:szCs w:val="28"/>
          <w:lang w:val="uk-UA"/>
        </w:rPr>
        <w:t xml:space="preserve">.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7777777" w:rsidR="00FD7628" w:rsidRDefault="00EC3A9A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561174C9" w14:textId="77777777" w:rsidR="00F87E23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F87E23">
        <w:rPr>
          <w:b/>
          <w:sz w:val="28"/>
          <w:szCs w:val="28"/>
          <w:lang w:val="uk-UA"/>
        </w:rPr>
        <w:t>відділу оренди</w:t>
      </w:r>
    </w:p>
    <w:p w14:paraId="19B5DA63" w14:textId="77777777" w:rsidR="00F87E23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</w:t>
      </w:r>
    </w:p>
    <w:p w14:paraId="09EFD366" w14:textId="54F0172C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14:paraId="508D9BBD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639C7787" w14:textId="1EDF35AC" w:rsidR="006F7070" w:rsidRDefault="002D4185" w:rsidP="00F87E23">
      <w:pPr>
        <w:tabs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  <w:t>Людмила ВЕРБІНА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1D2A" w14:textId="77777777" w:rsidR="005F1A14" w:rsidRDefault="005F1A14">
      <w:r>
        <w:separator/>
      </w:r>
    </w:p>
  </w:endnote>
  <w:endnote w:type="continuationSeparator" w:id="0">
    <w:p w14:paraId="26A3AFF0" w14:textId="77777777" w:rsidR="005F1A14" w:rsidRDefault="005F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E8DB" w14:textId="77777777" w:rsidR="005F1A14" w:rsidRDefault="005F1A14">
      <w:r>
        <w:separator/>
      </w:r>
    </w:p>
  </w:footnote>
  <w:footnote w:type="continuationSeparator" w:id="0">
    <w:p w14:paraId="1DA6D5C6" w14:textId="77777777" w:rsidR="005F1A14" w:rsidRDefault="005F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63D0"/>
    <w:rsid w:val="0003764F"/>
    <w:rsid w:val="00037BC3"/>
    <w:rsid w:val="00041265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31DB"/>
    <w:rsid w:val="005139C9"/>
    <w:rsid w:val="005163D4"/>
    <w:rsid w:val="005200EF"/>
    <w:rsid w:val="005248BD"/>
    <w:rsid w:val="00531733"/>
    <w:rsid w:val="0053586B"/>
    <w:rsid w:val="00537F30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1A14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A76"/>
    <w:rsid w:val="006704FD"/>
    <w:rsid w:val="0067149D"/>
    <w:rsid w:val="00677308"/>
    <w:rsid w:val="00677943"/>
    <w:rsid w:val="0068250D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0058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92E4A"/>
    <w:rsid w:val="00B946D2"/>
    <w:rsid w:val="00B946ED"/>
    <w:rsid w:val="00B947C6"/>
    <w:rsid w:val="00B94B21"/>
    <w:rsid w:val="00B95FDB"/>
    <w:rsid w:val="00B97EEB"/>
    <w:rsid w:val="00BA18DE"/>
    <w:rsid w:val="00BA2572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21C1"/>
    <w:rsid w:val="00CF2F5C"/>
    <w:rsid w:val="00CF534D"/>
    <w:rsid w:val="00CF5784"/>
    <w:rsid w:val="00D0010F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38CF"/>
    <w:rsid w:val="00E04126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D7715"/>
    <w:rsid w:val="00FE178E"/>
    <w:rsid w:val="00FE2014"/>
    <w:rsid w:val="00FE242F"/>
    <w:rsid w:val="00FE3778"/>
    <w:rsid w:val="00FE4684"/>
    <w:rsid w:val="00FE63C7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67</cp:revision>
  <cp:lastPrinted>2024-08-08T11:23:00Z</cp:lastPrinted>
  <dcterms:created xsi:type="dcterms:W3CDTF">2023-05-02T13:11:00Z</dcterms:created>
  <dcterms:modified xsi:type="dcterms:W3CDTF">2025-04-11T11:50:00Z</dcterms:modified>
</cp:coreProperties>
</file>