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</w:r>
    </w:p>
    <w:p>
      <w:pPr>
        <w:pStyle w:val="Normal"/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</w:r>
    </w:p>
    <w:p>
      <w:pPr>
        <w:pStyle w:val="Normal"/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</w:r>
    </w:p>
    <w:p>
      <w:pPr>
        <w:pStyle w:val="Normal"/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</w:r>
    </w:p>
    <w:p>
      <w:pPr>
        <w:pStyle w:val="Normal"/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</w:r>
    </w:p>
    <w:p>
      <w:pPr>
        <w:pStyle w:val="Normal"/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>12.10.2023                                                                                   №2166</w:t>
      </w:r>
    </w:p>
    <w:p>
      <w:pPr>
        <w:pStyle w:val="Normal"/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</w:r>
    </w:p>
    <w:p>
      <w:pPr>
        <w:pStyle w:val="Normal"/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>Про  оцінку  готовності  укриттів  комунальних</w:t>
      </w:r>
    </w:p>
    <w:p>
      <w:pPr>
        <w:pStyle w:val="Normal"/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 xml:space="preserve">закладів           культури,           підпорядкованих </w:t>
      </w:r>
    </w:p>
    <w:p>
      <w:pPr>
        <w:pStyle w:val="Normal"/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 xml:space="preserve">Управлінню          культури          і           туризму  </w:t>
      </w:r>
    </w:p>
    <w:p>
      <w:pPr>
        <w:pStyle w:val="Normal"/>
        <w:tabs>
          <w:tab w:val="clear" w:pos="708"/>
          <w:tab w:val="left" w:pos="6096" w:leader="none"/>
        </w:tabs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 xml:space="preserve">Кременчуцької  міської   ради  Кременчуцького </w:t>
      </w:r>
    </w:p>
    <w:p>
      <w:pPr>
        <w:pStyle w:val="Normal"/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 xml:space="preserve">району Полтавської області до роботи в умовах </w:t>
      </w:r>
    </w:p>
    <w:p>
      <w:pPr>
        <w:pStyle w:val="Normal"/>
        <w:spacing w:lineRule="auto" w:line="259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>воєнного стану</w:t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 xml:space="preserve">На виконання законів України «Про культуру», «Про охорону праці», «Про позашкільну освіту», «Про забезпечення санітарного та епідемічного благополуччя населення», </w:t>
      </w:r>
      <w:r>
        <w:rPr>
          <w:sz w:val="28"/>
          <w:szCs w:val="28"/>
          <w:lang w:val="uk-UA"/>
        </w:rPr>
        <w:t xml:space="preserve">Кодексу </w:t>
      </w:r>
      <w:r>
        <w:rPr>
          <w:color w:val="000000" w:themeColor="text1"/>
          <w:sz w:val="28"/>
          <w:szCs w:val="28"/>
          <w:lang w:val="uk-UA"/>
        </w:rPr>
        <w:t xml:space="preserve">цивільного захисту України, наказу Міністерства внутрішніх справ України від 09.07.2018 № 579 «Про затвердження вимог з питань використання та обліку фондів захисних споруд цивільного захисту» (зі змінами), </w:t>
      </w:r>
      <w:r>
        <w:rPr>
          <w:sz w:val="28"/>
          <w:szCs w:val="28"/>
          <w:lang w:val="uk-UA"/>
        </w:rPr>
        <w:t xml:space="preserve">керуючись  Порядком  створення,  утримання фонду захисних споруд цивільного захисту та ведення його обліку, затвердженого постановою Кабінету Міністрів України від 10.03.2017 №138, рекомендаціями Державної служби України з надзвичайних ситуацій щодо  організації укриття в об’єктах фонду захисних споруд цивільного захисту закладів освіти ( лист Державної служби України з надзвичайних ситуацій від 14.06.2022 № 03-1870/162-2 «Про організацію укриття працівників та дітей у закладах освіти), з урахуванням листа Міністерства освіти і науки України від 20.06.2023 № 1/8820-23 «Про організацію безпечного освітнього простору в закладах позашкільної освіти та обладнання укриттів», наказу Міністерства культури та інформаційної політики України від 28.06.2023 №349 «Про затвердження методичних рекомендацій щодо роботи закладів культури на підконтрольній Україні території з урахуванням безпеки відвідувачів», з метою забезпечення функціонування закладів культури в умовах воєнного стану, встановлення можливості використання будівель закладів культури для укриття як споруд подвійного призначення та найпростіших укриттів, створення безпечного  середовища у закладах культури та збереження життя і здоров’я працівників та відвідувачів, </w:t>
      </w:r>
      <w:r>
        <w:rPr>
          <w:color w:val="000000" w:themeColor="text1"/>
          <w:sz w:val="28"/>
          <w:szCs w:val="28"/>
          <w:lang w:val="uk-UA"/>
        </w:rPr>
        <w:t>керуючись ст. 32 Закону України «Про місцеве самоврядування в Україні», виконавчий комітет Кременчуцької міської ради Кременчуцького району Полтавської</w:t>
      </w:r>
      <w:r>
        <w:rPr>
          <w:sz w:val="28"/>
          <w:szCs w:val="28"/>
          <w:lang w:val="uk-UA"/>
        </w:rPr>
        <w:t xml:space="preserve"> області</w:t>
      </w:r>
    </w:p>
    <w:p>
      <w:pPr>
        <w:pStyle w:val="Normal"/>
        <w:ind w:firstLine="567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вирішив:</w:t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851" w:leader="none"/>
        </w:tabs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Створити  комісію з оцінки готовності укриттів комунальних закладів культури, що підпорядковані Управлінню культури і туризму Кременчуцької міської ради Кременчуцького району Полтавської області, до роботи в умовах воєнного стану (далі – комісія) та затвердити її склад (додаток).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</w:tabs>
        <w:spacing w:lineRule="auto" w:line="259"/>
        <w:ind w:left="0"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Комісії здійснити оцінку готовності укриттів </w:t>
      </w:r>
      <w:r>
        <w:rPr>
          <w:sz w:val="28"/>
          <w:szCs w:val="28"/>
          <w:lang w:val="uk-UA"/>
        </w:rPr>
        <w:t>комунальних закладів культури, що підпорядковані Управлінню культури і туризму Кременчуцької міської ради Кременчуцького району Полтавської області, до роботи в умовах воєнного стану</w:t>
      </w:r>
      <w:r>
        <w:rPr>
          <w:rFonts w:eastAsia="Calibri"/>
          <w:sz w:val="28"/>
          <w:szCs w:val="28"/>
          <w:lang w:val="uk-UA" w:eastAsia="en-US"/>
        </w:rPr>
        <w:t>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spacing w:lineRule="auto" w:line="259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ab/>
        <w:t>3. Результати роботи комісії викласти в акті оцінки об’єкта (будівлі, споруди, приміщення) щодо можливості його використання для укриття населення як найпростішого укриття згідно з додатком 6 до Вимог щодо забезпечення нумерації та здійснення обліку фонду захисних споруд цивільного захисту (пункт 9), затверджених наказом Міністерства внутрішніх справ України від 09.07.2018  № 579 «Про затвердження вимог з питань використання та обліку фонду захисних споруд цивільного захисту» із змінами, внесеними згідно з наказами  Міністерства  внутрішніх  справ  від  16.06.2020 № 460,       від 19.07.2022 № 440.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567" w:leader="none"/>
          <w:tab w:val="left" w:pos="1062" w:leader="none"/>
        </w:tabs>
        <w:spacing w:lineRule="auto" w:line="259"/>
        <w:ind w:left="993" w:hanging="426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Оприлюднити рішення відповідно  до вимог законодавства.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567" w:leader="none"/>
        </w:tabs>
        <w:spacing w:lineRule="auto" w:line="259"/>
        <w:ind w:left="993" w:hanging="426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Контроль  за  виконанням  рішення   покласти   на  заступника міського</w:t>
      </w:r>
    </w:p>
    <w:p>
      <w:pPr>
        <w:pStyle w:val="Normal"/>
        <w:tabs>
          <w:tab w:val="clear" w:pos="708"/>
          <w:tab w:val="left" w:pos="567" w:leader="none"/>
        </w:tabs>
        <w:spacing w:lineRule="auto" w:line="259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голови Проценка Р.О.</w:t>
      </w:r>
    </w:p>
    <w:p>
      <w:pPr>
        <w:pStyle w:val="Normal"/>
        <w:tabs>
          <w:tab w:val="clear" w:pos="708"/>
          <w:tab w:val="left" w:pos="567" w:leader="none"/>
        </w:tabs>
        <w:spacing w:lineRule="auto" w:line="259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59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59"/>
        <w:jc w:val="both"/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>Міський голова                                                                  Віталій МАЛЕЦЬКИЙ</w:t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rPr>
          <w:rFonts w:eastAsia="Calibri"/>
          <w:b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</w:r>
    </w:p>
    <w:p>
      <w:pPr>
        <w:pStyle w:val="Normal"/>
        <w:suppressAutoHyphens w:val="true"/>
        <w:ind w:left="4248" w:firstLine="708"/>
        <w:rPr>
          <w:b/>
          <w:b/>
          <w:sz w:val="28"/>
          <w:szCs w:val="28"/>
          <w:lang w:val="uk-UA" w:eastAsia="ar-SA"/>
        </w:rPr>
      </w:pPr>
      <w:r>
        <w:rPr>
          <w:b/>
          <w:sz w:val="28"/>
          <w:szCs w:val="28"/>
          <w:lang w:val="uk-UA" w:eastAsia="ar-SA"/>
        </w:rPr>
        <w:t xml:space="preserve">Додаток </w:t>
      </w:r>
    </w:p>
    <w:p>
      <w:pPr>
        <w:pStyle w:val="Normal"/>
        <w:suppressAutoHyphens w:val="true"/>
        <w:ind w:left="4956" w:hanging="0"/>
        <w:rPr>
          <w:b/>
          <w:b/>
          <w:sz w:val="28"/>
          <w:szCs w:val="28"/>
          <w:lang w:val="uk-UA" w:eastAsia="ar-SA"/>
        </w:rPr>
      </w:pPr>
      <w:r>
        <w:rPr>
          <w:b/>
          <w:sz w:val="28"/>
          <w:szCs w:val="28"/>
          <w:lang w:val="uk-UA" w:eastAsia="ar-SA"/>
        </w:rPr>
        <w:t>до рішення виконавчого комітету Кременчуцької міської ради Кременчуцького району Полтавської області</w:t>
      </w:r>
    </w:p>
    <w:p>
      <w:pPr>
        <w:pStyle w:val="Normal"/>
        <w:suppressAutoHyphens w:val="true"/>
        <w:ind w:left="4956" w:hanging="0"/>
        <w:rPr>
          <w:b/>
          <w:b/>
          <w:sz w:val="28"/>
          <w:szCs w:val="28"/>
          <w:lang w:val="uk-UA" w:eastAsia="ar-SA"/>
        </w:rPr>
      </w:pPr>
      <w:r>
        <w:rPr>
          <w:b/>
          <w:sz w:val="28"/>
          <w:szCs w:val="28"/>
          <w:lang w:val="uk-UA" w:eastAsia="ar-SA"/>
        </w:rPr>
        <w:t>12.10.2023          № 2166</w:t>
      </w:r>
    </w:p>
    <w:p>
      <w:pPr>
        <w:pStyle w:val="Normal"/>
        <w:rPr>
          <w:b/>
          <w:b/>
          <w:sz w:val="16"/>
          <w:szCs w:val="16"/>
          <w:lang w:val="uk-UA"/>
        </w:rPr>
      </w:pPr>
      <w:r>
        <w:rPr>
          <w:b/>
          <w:sz w:val="16"/>
          <w:szCs w:val="16"/>
          <w:lang w:val="uk-UA"/>
        </w:rPr>
      </w:r>
    </w:p>
    <w:p>
      <w:pPr>
        <w:pStyle w:val="Normal"/>
        <w:rPr>
          <w:b/>
          <w:b/>
          <w:sz w:val="16"/>
          <w:szCs w:val="16"/>
          <w:lang w:val="uk-UA"/>
        </w:rPr>
      </w:pPr>
      <w:r>
        <w:rPr>
          <w:b/>
          <w:sz w:val="16"/>
          <w:szCs w:val="16"/>
          <w:lang w:val="uk-UA"/>
        </w:rPr>
      </w:r>
      <w:bookmarkStart w:id="0" w:name="_GoBack"/>
      <w:bookmarkStart w:id="1" w:name="_GoBack"/>
      <w:bookmarkEnd w:id="1"/>
    </w:p>
    <w:p>
      <w:pPr>
        <w:pStyle w:val="Normal"/>
        <w:rPr>
          <w:b/>
          <w:b/>
          <w:sz w:val="16"/>
          <w:szCs w:val="16"/>
          <w:lang w:val="uk-UA"/>
        </w:rPr>
      </w:pPr>
      <w:r>
        <w:rPr>
          <w:b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Склад комісії </w:t>
      </w:r>
    </w:p>
    <w:p>
      <w:pPr>
        <w:pStyle w:val="Normal"/>
        <w:ind w:left="-142" w:hanging="0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 оцінки готовності укриттів комунальних закладів  культури, </w:t>
      </w:r>
    </w:p>
    <w:p>
      <w:pPr>
        <w:pStyle w:val="Normal"/>
        <w:ind w:left="-142" w:hanging="0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які підпорядковані Управлінню культури і туризму</w:t>
      </w:r>
    </w:p>
    <w:p>
      <w:pPr>
        <w:pStyle w:val="Normal"/>
        <w:ind w:left="-142" w:hanging="0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Кременчуцької міської ради Кременчуцького району Полтавської області, до роботи в період воєнного стану</w:t>
      </w:r>
    </w:p>
    <w:p>
      <w:pPr>
        <w:pStyle w:val="Normal"/>
        <w:ind w:left="-142" w:hanging="0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tbl>
      <w:tblPr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400"/>
        <w:gridCol w:w="250"/>
        <w:gridCol w:w="6097"/>
      </w:tblGrid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Вологодська</w:t>
            </w:r>
          </w:p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Ірина Валеріївна</w:t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ind w:left="-142" w:right="-114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097" w:type="dxa"/>
            <w:tcBorders/>
            <w:shd w:color="auto" w:fill="auto" w:val="clear"/>
          </w:tcPr>
          <w:p>
            <w:pPr>
              <w:pStyle w:val="Normal"/>
              <w:ind w:right="-108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>
              <w:rPr>
                <w:sz w:val="28"/>
                <w:szCs w:val="28"/>
                <w:lang w:val="uk-UA"/>
              </w:rPr>
              <w:t>ачальник Управління культури і туризму Кременчуцької міської ради Кременчуцького району Полтавської області, голова комісії;</w:t>
            </w:r>
          </w:p>
          <w:p>
            <w:pPr>
              <w:pStyle w:val="Normal"/>
              <w:ind w:right="-108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3400" w:type="dxa"/>
            <w:tcBorders/>
            <w:shd w:color="auto" w:fill="auto" w:val="clear"/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Палій Ірина </w:t>
            </w:r>
          </w:p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Павлівна                                      </w:t>
            </w:r>
          </w:p>
        </w:tc>
        <w:tc>
          <w:tcPr>
            <w:tcW w:w="250" w:type="dxa"/>
            <w:tcBorders/>
            <w:shd w:fill="auto" w:val="clear"/>
          </w:tcPr>
          <w:p>
            <w:pPr>
              <w:pStyle w:val="Normal"/>
              <w:ind w:left="-142" w:right="-114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–</w:t>
            </w:r>
          </w:p>
        </w:tc>
        <w:tc>
          <w:tcPr>
            <w:tcW w:w="6097" w:type="dxa"/>
            <w:tcBorders/>
            <w:shd w:color="auto" w:fill="auto" w:val="clear"/>
          </w:tcPr>
          <w:p>
            <w:pPr>
              <w:pStyle w:val="Normal"/>
              <w:ind w:right="-108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головний спеціаліст Управління культури і туризму Кременчуцької міської ради Кременчуцького району Полтавської області, секретар комісії.</w:t>
            </w:r>
          </w:p>
          <w:p>
            <w:pPr>
              <w:pStyle w:val="Normal"/>
              <w:ind w:right="-108" w:hang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Normal"/>
        <w:jc w:val="center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Члени комісії: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567" w:leader="none"/>
        </w:tabs>
        <w:ind w:left="0" w:firstLine="5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представник Кременчуцького районного управління Головного управління ДСНС України у Полтавській області (за згодою);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567" w:leader="none"/>
        </w:tabs>
        <w:ind w:left="0" w:firstLine="5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представник Кременчуцького районного управління Головного управління Держпродспоживслужби в Полтавській області (за згодою);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567" w:leader="none"/>
        </w:tabs>
        <w:ind w:left="0" w:firstLine="5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представник Кременчуцького районного управління поліції Головного управління Національної поліції в Полтавській області (за згодою);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567" w:leader="none"/>
        </w:tabs>
        <w:ind w:left="0" w:firstLine="5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представник Департаменту з питань цивільного захисту та оборонної роботи Кременчуцької міської ради Кременчуцького району Полтавської області.</w:t>
      </w:r>
    </w:p>
    <w:p>
      <w:pPr>
        <w:pStyle w:val="Normal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Заступник міського голови                                                  Руслан ПРОЦЕНКО</w:t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Начальник     Управління    культури </w:t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 туризму Кременчуцької міської ради </w:t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Кременчуцького району  Полтавської</w:t>
      </w:r>
    </w:p>
    <w:p>
      <w:pPr>
        <w:pStyle w:val="Normal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області                                                                                 Ірина ВОЛОГОДСЬКА      </w:t>
      </w:r>
    </w:p>
    <w:p>
      <w:pPr>
        <w:pStyle w:val="Normal"/>
        <w:jc w:val="center"/>
        <w:rPr/>
      </w:pPr>
      <w:r>
        <w:rPr/>
      </w:r>
    </w:p>
    <w:sectPr>
      <w:footerReference w:type="default" r:id="rId2"/>
      <w:type w:val="nextPage"/>
      <w:pgSz w:w="11906" w:h="16838"/>
      <w:pgMar w:left="1701" w:right="567" w:header="0" w:top="851" w:footer="1089" w:bottom="114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>
        <w:lang w:val="uk-UA"/>
      </w:rPr>
    </w:pPr>
    <w:r>
      <w:rPr>
        <w:lang w:val="uk-UA"/>
      </w:rPr>
      <w:t>________________________________________________________________________________</w:t>
    </w:r>
  </w:p>
  <w:p>
    <w:pPr>
      <w:pStyle w:val="Normal"/>
      <w:jc w:val="center"/>
      <w:rPr>
        <w:sz w:val="20"/>
        <w:szCs w:val="20"/>
        <w:lang w:val="uk-UA"/>
      </w:rPr>
    </w:pPr>
    <w:r>
      <w:rPr>
        <w:sz w:val="20"/>
        <w:szCs w:val="20"/>
        <w:lang w:val="uk-UA"/>
      </w:rPr>
      <w:t>Рішення виконавчого комітету Кременчуцької міської ради Кременчуцького району Полтавської області</w:t>
    </w:r>
  </w:p>
  <w:p>
    <w:pPr>
      <w:pStyle w:val="Normal"/>
      <w:jc w:val="center"/>
      <w:rPr>
        <w:sz w:val="20"/>
        <w:szCs w:val="20"/>
        <w:lang w:val="uk-UA"/>
      </w:rPr>
    </w:pPr>
    <w:r>
      <w:rPr>
        <w:sz w:val="20"/>
        <w:szCs w:val="20"/>
        <w:lang w:val="uk-UA"/>
      </w:rPr>
    </w:r>
  </w:p>
  <w:p>
    <w:pPr>
      <w:pStyle w:val="Normal"/>
      <w:jc w:val="center"/>
      <w:rPr>
        <w:sz w:val="20"/>
        <w:szCs w:val="20"/>
        <w:lang w:val="uk-UA"/>
      </w:rPr>
    </w:pPr>
    <w:r>
      <w:rPr>
        <w:sz w:val="20"/>
        <w:szCs w:val="20"/>
        <w:lang w:val="uk-UA"/>
      </w:rPr>
      <w:t>від __________20____  № ______</w:t>
    </w:r>
  </w:p>
  <w:p>
    <w:pPr>
      <w:pStyle w:val="Normal"/>
      <w:jc w:val="center"/>
      <w:rPr/>
    </w:pPr>
    <w:r>
      <w:rPr>
        <w:sz w:val="20"/>
        <w:szCs w:val="20"/>
        <w:lang w:val="uk-UA"/>
      </w:rPr>
      <w:t xml:space="preserve">Сторінка </w:t>
    </w:r>
    <w:r>
      <w:rPr>
        <w:rStyle w:val="Pagenumber"/>
        <w:sz w:val="20"/>
        <w:szCs w:val="20"/>
      </w:rPr>
      <w:fldChar w:fldCharType="begin"/>
    </w:r>
    <w:r>
      <w:rPr>
        <w:rStyle w:val="Pagenumber"/>
        <w:sz w:val="20"/>
        <w:szCs w:val="20"/>
      </w:rPr>
      <w:instrText> PAGE </w:instrText>
    </w:r>
    <w:r>
      <w:rPr>
        <w:rStyle w:val="Pagenumber"/>
        <w:sz w:val="20"/>
        <w:szCs w:val="20"/>
      </w:rPr>
      <w:fldChar w:fldCharType="separate"/>
    </w:r>
    <w:r>
      <w:rPr>
        <w:rStyle w:val="Pagenumber"/>
        <w:sz w:val="20"/>
        <w:szCs w:val="20"/>
      </w:rPr>
      <w:t>3</w:t>
    </w:r>
    <w:r>
      <w:rPr>
        <w:rStyle w:val="Pagenumber"/>
        <w:sz w:val="20"/>
        <w:szCs w:val="20"/>
      </w:rPr>
      <w:fldChar w:fldCharType="end"/>
    </w:r>
    <w:r>
      <w:rPr>
        <w:sz w:val="20"/>
        <w:szCs w:val="20"/>
        <w:lang w:val="uk-UA"/>
      </w:rPr>
      <w:t xml:space="preserve"> з 3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lvl w:ilvl="0">
      <w:start w:val="4"/>
      <w:numFmt w:val="decimal"/>
      <w:lvlText w:val="%1."/>
      <w:lvlJc w:val="left"/>
      <w:pPr>
        <w:ind w:left="1422" w:hanging="360"/>
      </w:pPr>
    </w:lvl>
    <w:lvl w:ilvl="1">
      <w:start w:val="1"/>
      <w:numFmt w:val="lowerLetter"/>
      <w:lvlText w:val="%2."/>
      <w:lvlJc w:val="left"/>
      <w:pPr>
        <w:ind w:left="2142" w:hanging="360"/>
      </w:pPr>
    </w:lvl>
    <w:lvl w:ilvl="2">
      <w:start w:val="1"/>
      <w:numFmt w:val="lowerRoman"/>
      <w:lvlText w:val="%3."/>
      <w:lvlJc w:val="right"/>
      <w:pPr>
        <w:ind w:left="2862" w:hanging="180"/>
      </w:pPr>
    </w:lvl>
    <w:lvl w:ilvl="3">
      <w:start w:val="1"/>
      <w:numFmt w:val="decimal"/>
      <w:lvlText w:val="%4."/>
      <w:lvlJc w:val="left"/>
      <w:pPr>
        <w:ind w:left="3582" w:hanging="360"/>
      </w:pPr>
    </w:lvl>
    <w:lvl w:ilvl="4">
      <w:start w:val="1"/>
      <w:numFmt w:val="lowerLetter"/>
      <w:lvlText w:val="%5."/>
      <w:lvlJc w:val="left"/>
      <w:pPr>
        <w:ind w:left="4302" w:hanging="360"/>
      </w:pPr>
    </w:lvl>
    <w:lvl w:ilvl="5">
      <w:start w:val="1"/>
      <w:numFmt w:val="lowerRoman"/>
      <w:lvlText w:val="%6."/>
      <w:lvlJc w:val="right"/>
      <w:pPr>
        <w:ind w:left="5022" w:hanging="180"/>
      </w:pPr>
    </w:lvl>
    <w:lvl w:ilvl="6">
      <w:start w:val="1"/>
      <w:numFmt w:val="decimal"/>
      <w:lvlText w:val="%7."/>
      <w:lvlJc w:val="left"/>
      <w:pPr>
        <w:ind w:left="5742" w:hanging="360"/>
      </w:pPr>
    </w:lvl>
    <w:lvl w:ilvl="7">
      <w:start w:val="1"/>
      <w:numFmt w:val="lowerLetter"/>
      <w:lvlText w:val="%8."/>
      <w:lvlJc w:val="left"/>
      <w:pPr>
        <w:ind w:left="6462" w:hanging="360"/>
      </w:pPr>
    </w:lvl>
    <w:lvl w:ilvl="8">
      <w:start w:val="1"/>
      <w:numFmt w:val="lowerRoman"/>
      <w:lvlText w:val="%9."/>
      <w:lvlJc w:val="right"/>
      <w:pPr>
        <w:ind w:left="7182" w:hanging="180"/>
      </w:pPr>
    </w:lvl>
  </w:abstractNum>
  <w:abstractNum w:abstractNumId="3">
    <w:lvl w:ilvl="0">
      <w:start w:val="3"/>
      <w:numFmt w:val="bullet"/>
      <w:lvlText w:val="-"/>
      <w:lvlJc w:val="left"/>
      <w:pPr>
        <w:ind w:left="930" w:hanging="360"/>
      </w:pPr>
      <w:rPr>
        <w:rFonts w:ascii="Times New Roman" w:hAnsi="Times New Roman" w:cs="Times New Roman" w:hint="default"/>
        <w:sz w:val="28"/>
        <w:rFonts w:cs="Times New Roman"/>
      </w:rPr>
    </w:lvl>
    <w:lvl w:ilvl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37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09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53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25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69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43c6e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d85746"/>
    <w:rPr/>
  </w:style>
  <w:style w:type="character" w:styleId="Style14" w:customStyle="1">
    <w:name w:val="Нижний колонтитул Знак"/>
    <w:basedOn w:val="DefaultParagraphFont"/>
    <w:link w:val="a4"/>
    <w:qFormat/>
    <w:rsid w:val="00d85746"/>
    <w:rPr>
      <w:sz w:val="24"/>
      <w:szCs w:val="24"/>
      <w:lang w:val="ru-RU" w:eastAsia="ru-RU"/>
    </w:rPr>
  </w:style>
  <w:style w:type="character" w:styleId="Style15">
    <w:name w:val="Интернет-ссылка"/>
    <w:rsid w:val="00d40006"/>
    <w:rPr>
      <w:color w:val="0563C1"/>
      <w:u w:val="single"/>
    </w:rPr>
  </w:style>
  <w:style w:type="character" w:styleId="ListLabel1">
    <w:name w:val="ListLabel 1"/>
    <w:qFormat/>
    <w:rPr>
      <w:color w:val="auto"/>
    </w:rPr>
  </w:style>
  <w:style w:type="character" w:styleId="ListLabel2">
    <w:name w:val="ListLabel 2"/>
    <w:qFormat/>
    <w:rPr>
      <w:color w:val="000000"/>
      <w:lang w:val="ru-RU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Calibri" w:cs="Times New Roman"/>
      <w:b w:val="false"/>
    </w:rPr>
  </w:style>
  <w:style w:type="character" w:styleId="ListLabel6">
    <w:name w:val="ListLabel 6"/>
    <w:qFormat/>
    <w:rPr>
      <w:rFonts w:eastAsia="Times New Roman" w:cs="Times New Roman"/>
      <w:sz w:val="28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Times New Roman"/>
      <w:sz w:val="28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Header"/>
    <w:basedOn w:val="Normal"/>
    <w:rsid w:val="009f607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5"/>
    <w:rsid w:val="009f607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semiHidden/>
    <w:qFormat/>
    <w:rsid w:val="00076f1e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2e04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rsid w:val="00d665a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2102</TotalTime>
  <Application>LibreOffice/6.2.5.2$Windows_x86 LibreOffice_project/1ec314fa52f458adc18c4f025c545a4e8b22c159</Application>
  <Pages>3</Pages>
  <Words>589</Words>
  <Characters>4305</Characters>
  <CharactersWithSpaces>5284</CharactersWithSpaces>
  <Paragraphs>45</Paragraphs>
  <Company>Privat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2023-07-26T13:05:00Z</dcterms:created>
  <dc:creator>User</dc:creator>
  <dc:description/>
  <dc:language>ru-RU</dc:language>
  <cp:lastModifiedBy/>
  <cp:lastPrinted>2023-10-10T12:59:00Z</cp:lastPrinted>
  <dcterms:modified xsi:type="dcterms:W3CDTF">2023-10-18T11:32:56Z</dcterms:modified>
  <cp:revision>23</cp:revision>
  <dc:subject/>
  <dc:title>Про збільшення загального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Privat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