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Pr="00291108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28.06.2023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  <w:t xml:space="preserve">                                                                                            № 1189</w:t>
      </w:r>
    </w:p>
    <w:p w:rsidR="001D0852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D0852" w:rsidRDefault="001D085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06</w:t>
      </w:r>
      <w:bookmarkStart w:id="0" w:name="_GoBack"/>
      <w:bookmarkEnd w:id="0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.06.2023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01-10/560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09 червня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>» в новій редакції»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Фонду Кременчуцької міської територіальної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99 990 грн (дев’яносто дев’ять тисяч дев’ятсот дев’яносто гривень)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1216030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>«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Організація благоустрою населених пунктів</w:t>
      </w:r>
      <w:r w:rsidRPr="006913A8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913A8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КЕКВ 2610 </w:t>
      </w:r>
      <w:r w:rsidRPr="001662D9">
        <w:rPr>
          <w:rFonts w:ascii="Times New Roman" w:eastAsia="MS Mincho" w:hAnsi="Times New Roman" w:cs="Times New Roman"/>
          <w:sz w:val="28"/>
          <w:szCs w:val="28"/>
          <w:lang w:eastAsia="ru-RU"/>
        </w:rPr>
        <w:t>«Субсидії та поточні трансферти підприємствам (установам, організаціям)»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оплату послуг з утримання та поточного ремонту об’єктів благоустрою (видалення окремих засохлих та пошкоджених дерев і кущів на міських кладовищах). 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852" w:rsidRDefault="001D0852" w:rsidP="0011706C">
      <w:pPr>
        <w:spacing w:after="0" w:line="240" w:lineRule="auto"/>
      </w:pPr>
      <w:r>
        <w:separator/>
      </w:r>
    </w:p>
  </w:endnote>
  <w:endnote w:type="continuationSeparator" w:id="0">
    <w:p w:rsidR="001D0852" w:rsidRDefault="001D085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852" w:rsidRDefault="001D0852" w:rsidP="0011706C">
      <w:pPr>
        <w:spacing w:after="0" w:line="240" w:lineRule="auto"/>
      </w:pPr>
      <w:r>
        <w:separator/>
      </w:r>
    </w:p>
  </w:footnote>
  <w:footnote w:type="continuationSeparator" w:id="0">
    <w:p w:rsidR="001D0852" w:rsidRDefault="001D085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52" w:rsidRDefault="001D08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45FBE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469</Words>
  <Characters>2675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5</cp:revision>
  <cp:lastPrinted>2023-06-28T10:37:00Z</cp:lastPrinted>
  <dcterms:created xsi:type="dcterms:W3CDTF">2023-06-28T09:14:00Z</dcterms:created>
  <dcterms:modified xsi:type="dcterms:W3CDTF">2023-06-30T06:00:00Z</dcterms:modified>
</cp:coreProperties>
</file>