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9" w:rsidRPr="0028546D" w:rsidRDefault="00302E29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302E29" w:rsidRDefault="00302E29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302E29" w:rsidRPr="0028546D" w:rsidRDefault="00302E29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302E29" w:rsidRPr="0028546D" w:rsidRDefault="00302E29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302E29" w:rsidRPr="00FE4B66" w:rsidRDefault="00302E29" w:rsidP="004B65A2">
      <w:pPr>
        <w:tabs>
          <w:tab w:val="left" w:pos="5200"/>
        </w:tabs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04.05.2022 № 578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>19.08.2021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ab/>
        <w:t>№ 1103</w:t>
      </w:r>
    </w:p>
    <w:p w:rsidR="00302E29" w:rsidRPr="0028546D" w:rsidRDefault="00302E29" w:rsidP="00BE40AE">
      <w:pPr>
        <w:rPr>
          <w:rFonts w:ascii="Times New Roman" w:hAnsi="Times New Roman"/>
          <w:b/>
          <w:sz w:val="24"/>
          <w:szCs w:val="24"/>
        </w:rPr>
      </w:pPr>
    </w:p>
    <w:p w:rsidR="00302E29" w:rsidRPr="006C6A50" w:rsidRDefault="00302E29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3</w:t>
      </w:r>
    </w:p>
    <w:p w:rsidR="00302E29" w:rsidRPr="0028546D" w:rsidRDefault="00302E29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302E29" w:rsidRPr="0028546D" w:rsidRDefault="00302E29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E29" w:rsidRPr="0028546D" w:rsidRDefault="00302E29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листопада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2E29" w:rsidRPr="0028546D" w:rsidRDefault="00302E29" w:rsidP="00FE4B66">
      <w:pPr>
        <w:ind w:firstLine="520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19.11.2021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133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3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-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Шевчук М.І.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302E29" w:rsidRDefault="00302E29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02E29" w:rsidRPr="001909C2" w:rsidRDefault="00302E29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 xml:space="preserve">№ 3 Болдир О.О.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6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Болдир О.О.</w:t>
      </w:r>
    </w:p>
    <w:p w:rsidR="00302E29" w:rsidRPr="0028546D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28546D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3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302E29" w:rsidRPr="0028546D" w:rsidRDefault="00302E29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02E29" w:rsidRPr="0028546D" w:rsidRDefault="00302E29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02E29" w:rsidRPr="0028546D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1976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523ACB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/>
          <w:sz w:val="24"/>
          <w:szCs w:val="24"/>
        </w:rPr>
        <w:t>381,4</w:t>
      </w:r>
    </w:p>
    <w:p w:rsidR="00302E29" w:rsidRPr="001513F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140,2</w:t>
      </w:r>
    </w:p>
    <w:p w:rsidR="00302E29" w:rsidRPr="001513F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233,7</w:t>
      </w:r>
    </w:p>
    <w:p w:rsidR="00302E29" w:rsidRDefault="00302E29" w:rsidP="00BE40AE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>приміщень – 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сміттєкамери –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302E29" w:rsidRPr="00F62231" w:rsidRDefault="00302E29" w:rsidP="0035772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4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приватної форми власності –  4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302E29" w:rsidRDefault="00302E29" w:rsidP="00BE40AE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відсуні</w:t>
      </w:r>
    </w:p>
    <w:p w:rsidR="00302E29" w:rsidRPr="00F62231" w:rsidRDefault="00302E29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302E29" w:rsidRPr="00F62231" w:rsidRDefault="00302E29" w:rsidP="00BE40A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4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4 квартир;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1 під’їзд.</w:t>
      </w:r>
    </w:p>
    <w:p w:rsidR="00302E29" w:rsidRPr="0028546D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253764,00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01.11.2021 року становить – 228383,60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25380,40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02E29" w:rsidRPr="0028546D" w:rsidRDefault="00302E29" w:rsidP="00BE40AE">
      <w:pPr>
        <w:jc w:val="both"/>
        <w:rPr>
          <w:rFonts w:ascii="Times New Roman" w:hAnsi="Times New Roman"/>
          <w:sz w:val="24"/>
          <w:szCs w:val="24"/>
        </w:rPr>
      </w:pPr>
    </w:p>
    <w:p w:rsidR="00302E29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302E29" w:rsidRPr="0028546D" w:rsidRDefault="00302E29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02E29" w:rsidRDefault="00302E29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302E29" w:rsidRDefault="00302E29" w:rsidP="004A6E17">
      <w:pPr>
        <w:pStyle w:val="ListParagraph"/>
        <w:tabs>
          <w:tab w:val="left" w:pos="390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Елементи благоустрою на прилеглій території господарські споруди: сарай – 4 шт.; гараж – 2 шт.</w:t>
      </w:r>
    </w:p>
    <w:p w:rsidR="00302E29" w:rsidRDefault="00302E29" w:rsidP="004A6E17">
      <w:pPr>
        <w:pStyle w:val="ListParagraph"/>
        <w:ind w:left="0" w:firstLine="65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4A6E17">
        <w:rPr>
          <w:rFonts w:ascii="Times New Roman" w:hAnsi="Times New Roman"/>
          <w:bCs/>
          <w:sz w:val="24"/>
          <w:szCs w:val="24"/>
          <w:lang w:val="uk-UA"/>
        </w:rPr>
        <w:t xml:space="preserve"> по вулиці Центральній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громади.</w:t>
      </w:r>
    </w:p>
    <w:p w:rsidR="00302E29" w:rsidRPr="00F62231" w:rsidRDefault="00302E29" w:rsidP="004A6E17">
      <w:pPr>
        <w:pStyle w:val="ListParagraph"/>
        <w:ind w:left="0" w:firstLine="65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02E29" w:rsidRPr="0028546D" w:rsidRDefault="00302E29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02E29" w:rsidRDefault="00302E29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302E29" w:rsidRPr="0028546D" w:rsidRDefault="00302E29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 Шевчук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02E29" w:rsidRPr="0028546D" w:rsidRDefault="00302E29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302E29" w:rsidRPr="00F62231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02E29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302E29" w:rsidRPr="0028546D" w:rsidRDefault="00302E29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>
        <w:rPr>
          <w:rFonts w:ascii="Times New Roman" w:hAnsi="Times New Roman"/>
          <w:bCs/>
          <w:sz w:val="24"/>
          <w:szCs w:val="24"/>
        </w:rPr>
        <w:t xml:space="preserve">3 Болдир О.О.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6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О.О. Болдир</w:t>
      </w:r>
    </w:p>
    <w:p w:rsidR="00302E29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302E29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FC3631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302E29" w:rsidRDefault="00302E29" w:rsidP="00BE40AE">
      <w:pPr>
        <w:jc w:val="both"/>
        <w:rPr>
          <w:rFonts w:ascii="Times New Roman" w:hAnsi="Times New Roman"/>
          <w:sz w:val="24"/>
          <w:szCs w:val="24"/>
        </w:rPr>
      </w:pPr>
    </w:p>
    <w:p w:rsidR="00302E29" w:rsidRPr="00FC3631" w:rsidRDefault="00302E29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302E29" w:rsidRDefault="00302E29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302E29" w:rsidRDefault="00302E29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</w:t>
      </w:r>
      <w:r w:rsidRPr="004A6E17">
        <w:rPr>
          <w:rFonts w:ascii="Times New Roman" w:hAnsi="Times New Roman"/>
          <w:b/>
          <w:sz w:val="24"/>
          <w:szCs w:val="24"/>
        </w:rPr>
        <w:t>Михайло ШЕВЧУК</w:t>
      </w:r>
    </w:p>
    <w:p w:rsidR="00302E29" w:rsidRPr="00FC3631" w:rsidRDefault="00302E29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302E29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302E29" w:rsidRPr="00084F5D" w:rsidRDefault="00302E29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302E29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AE"/>
    <w:rsid w:val="00006367"/>
    <w:rsid w:val="00084F5D"/>
    <w:rsid w:val="001513FD"/>
    <w:rsid w:val="001909C2"/>
    <w:rsid w:val="001C5C94"/>
    <w:rsid w:val="00203ED4"/>
    <w:rsid w:val="0028546D"/>
    <w:rsid w:val="002B5C71"/>
    <w:rsid w:val="002E0D00"/>
    <w:rsid w:val="00302E29"/>
    <w:rsid w:val="00314120"/>
    <w:rsid w:val="00357721"/>
    <w:rsid w:val="003A2222"/>
    <w:rsid w:val="004004BC"/>
    <w:rsid w:val="00452019"/>
    <w:rsid w:val="004A6E17"/>
    <w:rsid w:val="004B65A2"/>
    <w:rsid w:val="00523ACB"/>
    <w:rsid w:val="005724F8"/>
    <w:rsid w:val="00610D74"/>
    <w:rsid w:val="006A665B"/>
    <w:rsid w:val="006B1BED"/>
    <w:rsid w:val="006C6A50"/>
    <w:rsid w:val="00725E56"/>
    <w:rsid w:val="00730045"/>
    <w:rsid w:val="007969BF"/>
    <w:rsid w:val="007E3A63"/>
    <w:rsid w:val="00845948"/>
    <w:rsid w:val="00897586"/>
    <w:rsid w:val="009B04FB"/>
    <w:rsid w:val="00A125AE"/>
    <w:rsid w:val="00B716EB"/>
    <w:rsid w:val="00BE40AE"/>
    <w:rsid w:val="00CA69CD"/>
    <w:rsid w:val="00D26A1B"/>
    <w:rsid w:val="00D74E2B"/>
    <w:rsid w:val="00D7628C"/>
    <w:rsid w:val="00D769A4"/>
    <w:rsid w:val="00DA292D"/>
    <w:rsid w:val="00F03147"/>
    <w:rsid w:val="00F40949"/>
    <w:rsid w:val="00F62231"/>
    <w:rsid w:val="00F62F51"/>
    <w:rsid w:val="00F7610D"/>
    <w:rsid w:val="00FA733D"/>
    <w:rsid w:val="00FC3631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E40AE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0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3</Pages>
  <Words>916</Words>
  <Characters>5227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2021-06-16T08:34:00Z</dcterms:created>
  <dcterms:modified xsi:type="dcterms:W3CDTF">2022-05-10T11:59:00Z</dcterms:modified>
</cp:coreProperties>
</file>